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3880" w:type="dxa"/>
        <w:tblInd w:w="47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
      <w:tblGrid>
        <w:gridCol w:w="2080"/>
        <w:gridCol w:w="18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4" w:type="dxa"/>
            <w:bottom w:w="0" w:type="dxa"/>
            <w:right w:w="14" w:type="dxa"/>
          </w:tblCellMar>
        </w:tblPrEx>
        <w:trPr>
          <w:cantSplit/>
          <w:trHeight w:val="454" w:hRule="atLeast"/>
        </w:trPr>
        <w:tc>
          <w:tcPr>
            <w:tcW w:w="2080" w:type="dxa"/>
            <w:vAlign w:val="center"/>
          </w:tcPr>
          <w:p>
            <w:pPr>
              <w:snapToGrid w:val="0"/>
              <w:spacing w:line="360" w:lineRule="auto"/>
              <w:jc w:val="center"/>
              <w:rPr>
                <w:rFonts w:ascii="Times New Roman" w:hAnsi="Times New Roman" w:eastAsia="楷体_GB2312" w:cs="Times New Roman"/>
              </w:rPr>
            </w:pPr>
            <w:r>
              <w:rPr>
                <w:rFonts w:ascii="Times New Roman" w:hAnsi="Times New Roman" w:eastAsia="楷体_GB2312" w:cs="Times New Roman"/>
              </w:rPr>
              <w:t>批准立项年份</w:t>
            </w:r>
          </w:p>
        </w:tc>
        <w:tc>
          <w:tcPr>
            <w:tcW w:w="1800" w:type="dxa"/>
            <w:vAlign w:val="center"/>
          </w:tcPr>
          <w:p>
            <w:pPr>
              <w:snapToGrid w:val="0"/>
              <w:spacing w:line="360" w:lineRule="auto"/>
              <w:jc w:val="center"/>
              <w:rPr>
                <w:rFonts w:ascii="Times New Roman" w:hAnsi="Times New Roman" w:eastAsia="楷体_GB2312" w:cs="Times New Roman"/>
              </w:rPr>
            </w:pPr>
            <w:r>
              <w:rPr>
                <w:rFonts w:hint="eastAsia" w:ascii="Times New Roman" w:hAnsi="Times New Roman" w:eastAsia="楷体_GB2312" w:cs="Times New Roman"/>
              </w:rPr>
              <w:t>2013年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4" w:type="dxa"/>
            <w:bottom w:w="0" w:type="dxa"/>
            <w:right w:w="14" w:type="dxa"/>
          </w:tblCellMar>
        </w:tblPrEx>
        <w:trPr>
          <w:cantSplit/>
          <w:trHeight w:val="454" w:hRule="atLeast"/>
        </w:trPr>
        <w:tc>
          <w:tcPr>
            <w:tcW w:w="2080" w:type="dxa"/>
            <w:vAlign w:val="center"/>
          </w:tcPr>
          <w:p>
            <w:pPr>
              <w:snapToGrid w:val="0"/>
              <w:spacing w:line="360" w:lineRule="auto"/>
              <w:jc w:val="center"/>
              <w:rPr>
                <w:rFonts w:ascii="Times New Roman" w:hAnsi="Times New Roman" w:eastAsia="楷体_GB2312" w:cs="Times New Roman"/>
              </w:rPr>
            </w:pPr>
            <w:r>
              <w:rPr>
                <w:rFonts w:ascii="Times New Roman" w:hAnsi="Times New Roman" w:eastAsia="楷体_GB2312" w:cs="Times New Roman"/>
              </w:rPr>
              <w:t>通过验收年份</w:t>
            </w:r>
          </w:p>
        </w:tc>
        <w:tc>
          <w:tcPr>
            <w:tcW w:w="1800" w:type="dxa"/>
            <w:vAlign w:val="center"/>
          </w:tcPr>
          <w:p>
            <w:pPr>
              <w:snapToGrid w:val="0"/>
              <w:spacing w:line="360" w:lineRule="auto"/>
              <w:jc w:val="center"/>
              <w:rPr>
                <w:rFonts w:ascii="Times New Roman" w:hAnsi="Times New Roman" w:eastAsia="楷体_GB2312" w:cs="Times New Roman"/>
              </w:rPr>
            </w:pPr>
          </w:p>
        </w:tc>
      </w:tr>
    </w:tbl>
    <w:p>
      <w:pPr>
        <w:spacing w:line="360" w:lineRule="auto"/>
        <w:rPr>
          <w:rFonts w:ascii="Times New Roman" w:hAnsi="Times New Roman" w:eastAsia="楷体_GB2312" w:cs="Times New Roman"/>
          <w:sz w:val="28"/>
        </w:rPr>
      </w:pPr>
    </w:p>
    <w:p>
      <w:pPr>
        <w:spacing w:line="360" w:lineRule="auto"/>
        <w:rPr>
          <w:rFonts w:ascii="Times New Roman" w:hAnsi="Times New Roman" w:eastAsia="楷体_GB2312" w:cs="Times New Roman"/>
          <w:sz w:val="28"/>
        </w:rPr>
      </w:pPr>
    </w:p>
    <w:p>
      <w:pPr>
        <w:spacing w:line="360" w:lineRule="auto"/>
        <w:rPr>
          <w:rFonts w:ascii="Times New Roman" w:hAnsi="Times New Roman" w:eastAsia="楷体_GB2312" w:cs="Times New Roman"/>
          <w:sz w:val="28"/>
        </w:rPr>
      </w:pPr>
    </w:p>
    <w:p>
      <w:pPr>
        <w:spacing w:line="360" w:lineRule="auto"/>
        <w:jc w:val="center"/>
        <w:rPr>
          <w:rFonts w:ascii="Times New Roman" w:hAnsi="Times New Roman" w:eastAsia="楷体_GB2312" w:cs="Times New Roman"/>
          <w:sz w:val="28"/>
        </w:rPr>
      </w:pPr>
      <w:r>
        <w:rPr>
          <w:rFonts w:hint="eastAsia" w:ascii="Times New Roman" w:hAnsi="Times New Roman" w:eastAsia="黑体" w:cs="Times New Roman"/>
          <w:b/>
          <w:sz w:val="44"/>
        </w:rPr>
        <w:t>国家级实验教学示范中心年度报告</w:t>
      </w:r>
    </w:p>
    <w:p>
      <w:pPr>
        <w:jc w:val="center"/>
        <w:rPr>
          <w:rFonts w:ascii="Times New Roman" w:hAnsi="Times New Roman" w:eastAsia="楷体_GB2312" w:cs="Times New Roman"/>
          <w:sz w:val="28"/>
        </w:rPr>
      </w:pPr>
      <w:r>
        <w:rPr>
          <w:rFonts w:ascii="Times New Roman" w:hAnsi="Times New Roman" w:eastAsia="楷体_GB2312" w:cs="Times New Roman"/>
          <w:sz w:val="28"/>
        </w:rPr>
        <w:t>（20</w:t>
      </w:r>
      <w:r>
        <w:rPr>
          <w:rFonts w:hint="eastAsia" w:ascii="Times New Roman" w:hAnsi="Times New Roman" w:eastAsia="楷体_GB2312" w:cs="Times New Roman"/>
          <w:sz w:val="28"/>
          <w:lang w:val="en-US" w:eastAsia="zh-CN"/>
        </w:rPr>
        <w:t>20</w:t>
      </w:r>
      <w:r>
        <w:rPr>
          <w:rFonts w:ascii="Times New Roman" w:hAnsi="Times New Roman" w:eastAsia="楷体_GB2312" w:cs="Times New Roman"/>
          <w:sz w:val="28"/>
        </w:rPr>
        <w:t>年1月</w:t>
      </w:r>
      <w:r>
        <w:rPr>
          <w:rFonts w:hint="eastAsia" w:ascii="Times New Roman" w:hAnsi="Times New Roman" w:eastAsia="楷体_GB2312" w:cs="Times New Roman"/>
          <w:sz w:val="28"/>
        </w:rPr>
        <w:t>1日</w:t>
      </w:r>
      <w:r>
        <w:rPr>
          <w:rFonts w:ascii="Times New Roman" w:hAnsi="Times New Roman" w:eastAsia="楷体_GB2312" w:cs="Times New Roman"/>
          <w:sz w:val="28"/>
        </w:rPr>
        <w:t>——20</w:t>
      </w:r>
      <w:r>
        <w:rPr>
          <w:rFonts w:hint="eastAsia" w:ascii="Times New Roman" w:hAnsi="Times New Roman" w:eastAsia="楷体_GB2312" w:cs="Times New Roman"/>
          <w:sz w:val="28"/>
          <w:lang w:val="en-US" w:eastAsia="zh-CN"/>
        </w:rPr>
        <w:t>20</w:t>
      </w:r>
      <w:r>
        <w:rPr>
          <w:rFonts w:ascii="Times New Roman" w:hAnsi="Times New Roman" w:eastAsia="楷体_GB2312" w:cs="Times New Roman"/>
          <w:sz w:val="28"/>
        </w:rPr>
        <w:t>年12月</w:t>
      </w:r>
      <w:r>
        <w:rPr>
          <w:rFonts w:hint="eastAsia" w:ascii="Times New Roman" w:hAnsi="Times New Roman" w:eastAsia="楷体_GB2312" w:cs="Times New Roman"/>
          <w:sz w:val="28"/>
        </w:rPr>
        <w:t>31日</w:t>
      </w:r>
      <w:r>
        <w:rPr>
          <w:rFonts w:ascii="Times New Roman" w:hAnsi="Times New Roman" w:eastAsia="楷体_GB2312" w:cs="Times New Roman"/>
          <w:sz w:val="28"/>
        </w:rPr>
        <w:t>）</w:t>
      </w:r>
    </w:p>
    <w:p>
      <w:pPr>
        <w:spacing w:line="360" w:lineRule="auto"/>
        <w:rPr>
          <w:rFonts w:ascii="Times New Roman" w:hAnsi="Times New Roman" w:eastAsia="楷体_GB2312" w:cs="Times New Roman"/>
          <w:sz w:val="28"/>
        </w:rPr>
      </w:pPr>
    </w:p>
    <w:p>
      <w:pPr>
        <w:spacing w:line="360" w:lineRule="auto"/>
        <w:rPr>
          <w:rFonts w:ascii="Times New Roman" w:hAnsi="Times New Roman" w:eastAsia="楷体_GB2312" w:cs="Times New Roman"/>
          <w:sz w:val="28"/>
        </w:rPr>
      </w:pPr>
    </w:p>
    <w:p>
      <w:pPr>
        <w:spacing w:line="360" w:lineRule="auto"/>
        <w:rPr>
          <w:rFonts w:ascii="Times New Roman" w:hAnsi="Times New Roman" w:eastAsia="楷体_GB2312" w:cs="Times New Roman"/>
          <w:b/>
          <w:sz w:val="28"/>
        </w:rPr>
      </w:pPr>
    </w:p>
    <w:p>
      <w:pPr>
        <w:spacing w:before="120" w:after="120" w:line="360" w:lineRule="auto"/>
        <w:rPr>
          <w:rFonts w:ascii="Times New Roman" w:hAnsi="Times New Roman" w:eastAsia="楷体_GB2312" w:cs="Times New Roman"/>
          <w:b/>
          <w:bCs/>
          <w:sz w:val="28"/>
          <w:szCs w:val="28"/>
        </w:rPr>
      </w:pPr>
      <w:r>
        <w:rPr>
          <w:rFonts w:hint="eastAsia" w:ascii="Times New Roman" w:hAnsi="Times New Roman" w:eastAsia="楷体_GB2312" w:cs="楷体_GB2312"/>
          <w:b/>
          <w:bCs/>
          <w:sz w:val="28"/>
          <w:szCs w:val="28"/>
        </w:rPr>
        <w:t>实验教学中心名称：临床技能实验教学中心</w:t>
      </w:r>
    </w:p>
    <w:p>
      <w:pPr>
        <w:spacing w:before="120" w:after="120" w:line="360" w:lineRule="auto"/>
        <w:rPr>
          <w:rFonts w:ascii="Times New Roman" w:hAnsi="Times New Roman" w:eastAsia="楷体_GB2312" w:cs="Times New Roman"/>
          <w:b/>
          <w:bCs/>
          <w:sz w:val="28"/>
          <w:szCs w:val="28"/>
        </w:rPr>
      </w:pPr>
      <w:r>
        <w:rPr>
          <w:rFonts w:hint="eastAsia" w:ascii="Times New Roman" w:hAnsi="Times New Roman" w:eastAsia="楷体_GB2312" w:cs="楷体_GB2312"/>
          <w:b/>
          <w:bCs/>
          <w:sz w:val="28"/>
          <w:szCs w:val="28"/>
        </w:rPr>
        <w:t>实验教学中心主任：杨玉萍</w:t>
      </w:r>
    </w:p>
    <w:p>
      <w:pPr>
        <w:spacing w:before="120" w:after="120" w:line="360" w:lineRule="auto"/>
        <w:rPr>
          <w:rFonts w:ascii="Times New Roman" w:hAnsi="Times New Roman" w:eastAsia="楷体_GB2312" w:cs="Times New Roman"/>
          <w:b/>
          <w:bCs/>
          <w:sz w:val="28"/>
          <w:szCs w:val="28"/>
        </w:rPr>
      </w:pPr>
      <w:r>
        <w:rPr>
          <w:rFonts w:hint="eastAsia" w:ascii="Times New Roman" w:hAnsi="Times New Roman" w:eastAsia="楷体_GB2312" w:cs="楷体_GB2312"/>
          <w:b/>
          <w:bCs/>
          <w:sz w:val="28"/>
          <w:szCs w:val="28"/>
        </w:rPr>
        <w:t>实验教学中心联系人</w:t>
      </w:r>
      <w:r>
        <w:rPr>
          <w:rFonts w:ascii="Times New Roman" w:hAnsi="Times New Roman" w:eastAsia="楷体_GB2312" w:cs="Times New Roman"/>
          <w:b/>
          <w:bCs/>
          <w:sz w:val="28"/>
          <w:szCs w:val="28"/>
        </w:rPr>
        <w:t>/</w:t>
      </w:r>
      <w:r>
        <w:rPr>
          <w:rFonts w:hint="eastAsia" w:ascii="Times New Roman" w:hAnsi="Times New Roman" w:eastAsia="楷体_GB2312" w:cs="楷体_GB2312"/>
          <w:b/>
          <w:bCs/>
          <w:sz w:val="28"/>
          <w:szCs w:val="28"/>
        </w:rPr>
        <w:t>联系电话：崔乐乐</w:t>
      </w:r>
      <w:r>
        <w:rPr>
          <w:rFonts w:ascii="宋体" w:hAnsi="宋体" w:cs="宋体"/>
          <w:b/>
          <w:bCs/>
          <w:sz w:val="28"/>
          <w:szCs w:val="28"/>
        </w:rPr>
        <w:t>/18008856088</w:t>
      </w:r>
    </w:p>
    <w:p>
      <w:pPr>
        <w:spacing w:before="120" w:after="120" w:line="360" w:lineRule="auto"/>
        <w:rPr>
          <w:rFonts w:ascii="Times New Roman" w:hAnsi="Times New Roman" w:eastAsia="楷体_GB2312" w:cs="Times New Roman"/>
          <w:b/>
          <w:bCs/>
          <w:sz w:val="28"/>
          <w:szCs w:val="28"/>
        </w:rPr>
      </w:pPr>
      <w:r>
        <w:rPr>
          <w:rFonts w:hint="eastAsia" w:ascii="Times New Roman" w:hAnsi="Times New Roman" w:eastAsia="楷体_GB2312" w:cs="楷体_GB2312"/>
          <w:b/>
          <w:bCs/>
          <w:sz w:val="28"/>
          <w:szCs w:val="28"/>
        </w:rPr>
        <w:t>实验教学中心联系人电子邮箱：</w:t>
      </w:r>
      <w:r>
        <w:rPr>
          <w:rFonts w:ascii="Times New Roman" w:hAnsi="Times New Roman" w:eastAsia="楷体_GB2312" w:cs="楷体_GB2312"/>
          <w:b/>
          <w:bCs/>
          <w:sz w:val="28"/>
          <w:szCs w:val="28"/>
        </w:rPr>
        <w:t>692560154@qq.com</w:t>
      </w:r>
    </w:p>
    <w:p>
      <w:pPr>
        <w:spacing w:before="120" w:after="120" w:line="360" w:lineRule="auto"/>
        <w:rPr>
          <w:rFonts w:ascii="Times New Roman" w:hAnsi="Times New Roman" w:eastAsia="楷体_GB2312" w:cs="Times New Roman"/>
          <w:b/>
          <w:bCs/>
          <w:sz w:val="28"/>
          <w:szCs w:val="28"/>
        </w:rPr>
      </w:pPr>
      <w:r>
        <w:rPr>
          <w:rFonts w:hint="eastAsia" w:ascii="Times New Roman" w:hAnsi="Times New Roman" w:eastAsia="楷体_GB2312" w:cs="楷体_GB2312"/>
          <w:b/>
          <w:bCs/>
          <w:sz w:val="28"/>
          <w:szCs w:val="28"/>
        </w:rPr>
        <w:t>所在学校名称：昆明医科大学</w:t>
      </w:r>
    </w:p>
    <w:p>
      <w:pPr>
        <w:spacing w:before="120" w:after="120" w:line="360" w:lineRule="auto"/>
        <w:rPr>
          <w:rFonts w:ascii="Times New Roman" w:hAnsi="Times New Roman" w:cs="Times New Roman"/>
          <w:b/>
          <w:bCs/>
          <w:sz w:val="28"/>
          <w:szCs w:val="28"/>
        </w:rPr>
      </w:pPr>
      <w:r>
        <w:rPr>
          <w:rFonts w:hint="eastAsia" w:ascii="Times New Roman" w:hAnsi="Times New Roman" w:eastAsia="楷体_GB2312" w:cs="楷体_GB2312"/>
          <w:b/>
          <w:bCs/>
          <w:sz w:val="28"/>
          <w:szCs w:val="28"/>
        </w:rPr>
        <w:t>所在学校联系人</w:t>
      </w:r>
      <w:r>
        <w:rPr>
          <w:rFonts w:ascii="Times New Roman" w:hAnsi="Times New Roman" w:eastAsia="楷体_GB2312" w:cs="Times New Roman"/>
          <w:b/>
          <w:bCs/>
          <w:sz w:val="28"/>
          <w:szCs w:val="28"/>
        </w:rPr>
        <w:t>/</w:t>
      </w:r>
      <w:r>
        <w:rPr>
          <w:rFonts w:hint="eastAsia" w:ascii="Times New Roman" w:hAnsi="Times New Roman" w:eastAsia="楷体_GB2312" w:cs="楷体_GB2312"/>
          <w:b/>
          <w:bCs/>
          <w:sz w:val="28"/>
          <w:szCs w:val="28"/>
        </w:rPr>
        <w:t>联系电话：陈有华</w:t>
      </w:r>
      <w:r>
        <w:rPr>
          <w:rFonts w:ascii="宋体" w:hAnsi="宋体" w:cs="宋体"/>
          <w:b/>
          <w:bCs/>
          <w:sz w:val="28"/>
          <w:szCs w:val="28"/>
        </w:rPr>
        <w:t>/13</w:t>
      </w:r>
      <w:r>
        <w:rPr>
          <w:rFonts w:hint="eastAsia" w:ascii="宋体" w:hAnsi="宋体" w:cs="宋体"/>
          <w:b/>
          <w:bCs/>
          <w:sz w:val="28"/>
          <w:szCs w:val="28"/>
        </w:rPr>
        <w:t>888624878</w:t>
      </w:r>
    </w:p>
    <w:p>
      <w:pPr>
        <w:spacing w:before="120" w:after="120" w:line="360" w:lineRule="auto"/>
        <w:rPr>
          <w:rFonts w:ascii="Times New Roman" w:hAnsi="Times New Roman" w:eastAsia="楷体_GB2312" w:cs="Times New Roman"/>
          <w:b/>
          <w:sz w:val="28"/>
        </w:rPr>
      </w:pPr>
    </w:p>
    <w:p>
      <w:pPr>
        <w:spacing w:line="360" w:lineRule="auto"/>
        <w:jc w:val="center"/>
        <w:rPr>
          <w:rFonts w:ascii="Times New Roman" w:hAnsi="Times New Roman" w:eastAsia="楷体_GB2312" w:cs="Times New Roman"/>
          <w:sz w:val="28"/>
        </w:rPr>
      </w:pPr>
    </w:p>
    <w:p>
      <w:pPr>
        <w:spacing w:line="360" w:lineRule="auto"/>
        <w:jc w:val="center"/>
        <w:rPr>
          <w:rFonts w:ascii="Times New Roman" w:hAnsi="Times New Roman" w:eastAsia="楷体_GB2312" w:cs="Times New Roman"/>
          <w:sz w:val="28"/>
        </w:rPr>
      </w:pPr>
    </w:p>
    <w:p>
      <w:pPr>
        <w:spacing w:line="360" w:lineRule="auto"/>
        <w:jc w:val="center"/>
        <w:rPr>
          <w:rFonts w:ascii="Times New Roman" w:hAnsi="Times New Roman" w:eastAsia="楷体_GB2312" w:cs="Times New Roman"/>
          <w:sz w:val="28"/>
        </w:rPr>
      </w:pPr>
      <w:r>
        <w:rPr>
          <w:rFonts w:hint="eastAsia" w:ascii="Times New Roman" w:hAnsi="Times New Roman" w:eastAsia="楷体_GB2312" w:cs="Times New Roman"/>
          <w:sz w:val="28"/>
        </w:rPr>
        <w:t>202</w:t>
      </w:r>
      <w:r>
        <w:rPr>
          <w:rFonts w:hint="eastAsia" w:ascii="Times New Roman" w:hAnsi="Times New Roman" w:eastAsia="楷体_GB2312" w:cs="Times New Roman"/>
          <w:sz w:val="28"/>
          <w:lang w:val="en-US" w:eastAsia="zh-CN"/>
        </w:rPr>
        <w:t>1</w:t>
      </w:r>
      <w:r>
        <w:rPr>
          <w:rFonts w:ascii="Times New Roman" w:hAnsi="Times New Roman" w:eastAsia="楷体_GB2312" w:cs="Times New Roman"/>
          <w:sz w:val="28"/>
        </w:rPr>
        <w:t xml:space="preserve">年 </w:t>
      </w:r>
      <w:r>
        <w:rPr>
          <w:rFonts w:hint="eastAsia" w:ascii="Times New Roman" w:hAnsi="Times New Roman" w:eastAsia="楷体_GB2312" w:cs="Times New Roman"/>
          <w:sz w:val="28"/>
        </w:rPr>
        <w:t>1</w:t>
      </w:r>
      <w:r>
        <w:rPr>
          <w:rFonts w:ascii="Times New Roman" w:hAnsi="Times New Roman" w:eastAsia="楷体_GB2312" w:cs="Times New Roman"/>
          <w:sz w:val="28"/>
        </w:rPr>
        <w:t xml:space="preserve"> 月 </w:t>
      </w:r>
      <w:r>
        <w:rPr>
          <w:rFonts w:hint="eastAsia" w:ascii="Times New Roman" w:hAnsi="Times New Roman" w:eastAsia="楷体_GB2312" w:cs="Times New Roman"/>
          <w:sz w:val="28"/>
          <w:lang w:val="en-US" w:eastAsia="zh-CN"/>
        </w:rPr>
        <w:t>14</w:t>
      </w:r>
      <w:bookmarkStart w:id="103" w:name="_GoBack"/>
      <w:bookmarkEnd w:id="103"/>
      <w:r>
        <w:rPr>
          <w:rFonts w:ascii="Times New Roman" w:hAnsi="Times New Roman" w:eastAsia="楷体_GB2312" w:cs="Times New Roman"/>
          <w:sz w:val="28"/>
        </w:rPr>
        <w:t>日填报</w:t>
      </w:r>
    </w:p>
    <w:p>
      <w:pPr>
        <w:widowControl/>
        <w:spacing w:line="360" w:lineRule="auto"/>
        <w:jc w:val="left"/>
        <w:rPr>
          <w:rFonts w:ascii="仿宋_GB2312" w:eastAsia="仿宋_GB2312"/>
          <w:sz w:val="28"/>
          <w:szCs w:val="28"/>
        </w:rPr>
      </w:pPr>
      <w:r>
        <w:rPr>
          <w:rFonts w:ascii="仿宋_GB2312" w:eastAsia="仿宋_GB2312"/>
          <w:sz w:val="28"/>
          <w:szCs w:val="28"/>
        </w:rPr>
        <w:br w:type="page"/>
      </w:r>
    </w:p>
    <w:p>
      <w:pPr>
        <w:adjustRightInd w:val="0"/>
        <w:snapToGrid w:val="0"/>
        <w:spacing w:line="360" w:lineRule="auto"/>
        <w:ind w:firstLine="640" w:firstLineChars="200"/>
        <w:jc w:val="center"/>
        <w:rPr>
          <w:rFonts w:ascii="仿宋_GB2312" w:eastAsia="仿宋_GB2312" w:cs="仿宋_GB2312"/>
          <w:bCs/>
          <w:sz w:val="28"/>
          <w:szCs w:val="28"/>
        </w:rPr>
      </w:pPr>
      <w:r>
        <w:rPr>
          <w:rFonts w:hint="eastAsia" w:ascii="黑体" w:hAnsi="黑体" w:eastAsia="黑体"/>
          <w:sz w:val="32"/>
          <w:szCs w:val="32"/>
        </w:rPr>
        <w:t xml:space="preserve">第一部分 </w:t>
      </w:r>
      <w:r>
        <w:rPr>
          <w:rFonts w:hint="eastAsia" w:ascii="黑体" w:hAnsi="黑体" w:eastAsia="黑体" w:cs="黑体"/>
          <w:bCs/>
          <w:sz w:val="32"/>
          <w:szCs w:val="32"/>
        </w:rPr>
        <w:t>年度报告编写提纲</w:t>
      </w:r>
    </w:p>
    <w:p>
      <w:pPr>
        <w:adjustRightInd w:val="0"/>
        <w:snapToGrid w:val="0"/>
        <w:spacing w:line="360" w:lineRule="auto"/>
        <w:ind w:firstLine="560" w:firstLineChars="200"/>
        <w:rPr>
          <w:rFonts w:ascii="仿宋_GB2312" w:eastAsia="仿宋_GB2312" w:cs="仿宋_GB2312"/>
          <w:bCs/>
          <w:sz w:val="28"/>
          <w:szCs w:val="28"/>
        </w:rPr>
      </w:pPr>
      <w:r>
        <w:rPr>
          <w:rFonts w:ascii="??" w:hAnsi="??" w:eastAsia="Times New Roman" w:cs="??"/>
          <w:sz w:val="28"/>
          <w:szCs w:val="28"/>
        </w:rPr>
        <w:t>20</w:t>
      </w:r>
      <w:r>
        <w:rPr>
          <w:rFonts w:hint="eastAsia" w:ascii="??" w:hAnsi="??" w:eastAsia="宋体" w:cs="??"/>
          <w:sz w:val="28"/>
          <w:szCs w:val="28"/>
          <w:lang w:val="en-US" w:eastAsia="zh-CN"/>
        </w:rPr>
        <w:t>20</w:t>
      </w:r>
      <w:r>
        <w:rPr>
          <w:rFonts w:hint="eastAsia" w:ascii="宋体" w:hAnsi="宋体" w:cs="宋体"/>
          <w:sz w:val="28"/>
          <w:szCs w:val="28"/>
        </w:rPr>
        <w:t>年，昆明医科大学临床技能中心通过持续深化教育教学改革，构建了满足卓越医学人才培养的临床技能教学体系，有力地促进了人才培养质量的提高；多措并举加强人才队伍建设，不断扩大对外合作交流，承担</w:t>
      </w:r>
      <w:r>
        <w:rPr>
          <w:rFonts w:hint="eastAsia" w:ascii="宋体" w:hAnsi="宋体" w:cs="宋体"/>
          <w:sz w:val="28"/>
          <w:szCs w:val="28"/>
          <w:lang w:val="en-US" w:eastAsia="zh-CN"/>
        </w:rPr>
        <w:t>2020年</w:t>
      </w:r>
      <w:r>
        <w:rPr>
          <w:rFonts w:hint="eastAsia" w:ascii="宋体" w:hAnsi="宋体" w:cs="宋体"/>
          <w:sz w:val="28"/>
          <w:szCs w:val="28"/>
        </w:rPr>
        <w:t>临床执业医师资格实践技能考试，以应用促建设和发展，不断提升内涵建设水平，圆满完成了国家级实验教学示范中心的年度建设任务，更加凸显了作为云南省唯一的临床技能类国家级实验教学示范中心的引领示范和辐射带动作用。</w:t>
      </w:r>
    </w:p>
    <w:p>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一、人才培养工作和成效</w:t>
      </w:r>
    </w:p>
    <w:p>
      <w:p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（一）人才培养基本情况。</w:t>
      </w:r>
    </w:p>
    <w:p>
      <w:pPr>
        <w:spacing w:line="360" w:lineRule="auto"/>
        <w:ind w:firstLine="562" w:firstLineChars="200"/>
        <w:rPr>
          <w:rFonts w:hint="eastAsia" w:ascii="宋体" w:hAnsi="宋体" w:cs="宋体"/>
          <w:sz w:val="28"/>
          <w:szCs w:val="28"/>
        </w:rPr>
      </w:pPr>
      <w:r>
        <w:rPr>
          <w:rFonts w:hint="eastAsia" w:ascii="宋体" w:hAnsi="宋体" w:cs="宋体"/>
          <w:b/>
          <w:sz w:val="28"/>
          <w:szCs w:val="28"/>
        </w:rPr>
        <w:t>临床技能教学全覆盖。</w:t>
      </w:r>
      <w:r>
        <w:rPr>
          <w:rFonts w:hint="eastAsia" w:ascii="宋体" w:hAnsi="宋体" w:cs="宋体"/>
          <w:sz w:val="28"/>
          <w:szCs w:val="28"/>
        </w:rPr>
        <w:t>中心共承担201</w:t>
      </w:r>
      <w:r>
        <w:rPr>
          <w:rFonts w:hint="eastAsia" w:ascii="宋体" w:hAnsi="宋体" w:cs="宋体"/>
          <w:sz w:val="28"/>
          <w:szCs w:val="28"/>
          <w:lang w:val="en-US" w:eastAsia="zh-CN"/>
        </w:rPr>
        <w:t>7</w:t>
      </w:r>
      <w:r>
        <w:rPr>
          <w:rFonts w:hint="eastAsia" w:ascii="宋体" w:hAnsi="宋体" w:cs="宋体"/>
          <w:sz w:val="28"/>
          <w:szCs w:val="28"/>
        </w:rPr>
        <w:t>级、201</w:t>
      </w:r>
      <w:r>
        <w:rPr>
          <w:rFonts w:hint="eastAsia" w:ascii="宋体" w:hAnsi="宋体" w:cs="宋体"/>
          <w:sz w:val="28"/>
          <w:szCs w:val="28"/>
          <w:lang w:val="en-US" w:eastAsia="zh-CN"/>
        </w:rPr>
        <w:t>8</w:t>
      </w:r>
      <w:r>
        <w:rPr>
          <w:rFonts w:hint="eastAsia" w:ascii="宋体" w:hAnsi="宋体" w:cs="宋体"/>
          <w:sz w:val="28"/>
          <w:szCs w:val="28"/>
        </w:rPr>
        <w:t>级、201</w:t>
      </w:r>
      <w:r>
        <w:rPr>
          <w:rFonts w:hint="eastAsia" w:ascii="宋体" w:hAnsi="宋体" w:cs="宋体"/>
          <w:sz w:val="28"/>
          <w:szCs w:val="28"/>
          <w:lang w:val="en-US" w:eastAsia="zh-CN"/>
        </w:rPr>
        <w:t>9</w:t>
      </w:r>
      <w:r>
        <w:rPr>
          <w:rFonts w:hint="eastAsia" w:ascii="宋体" w:hAnsi="宋体" w:cs="宋体"/>
          <w:sz w:val="28"/>
          <w:szCs w:val="28"/>
        </w:rPr>
        <w:t>级、和20</w:t>
      </w:r>
      <w:r>
        <w:rPr>
          <w:rFonts w:hint="eastAsia" w:ascii="宋体" w:hAnsi="宋体" w:cs="宋体"/>
          <w:sz w:val="28"/>
          <w:szCs w:val="28"/>
          <w:lang w:val="en-US" w:eastAsia="zh-CN"/>
        </w:rPr>
        <w:t>20</w:t>
      </w:r>
      <w:r>
        <w:rPr>
          <w:rFonts w:hint="eastAsia" w:ascii="宋体" w:hAnsi="宋体" w:cs="宋体"/>
          <w:sz w:val="28"/>
          <w:szCs w:val="28"/>
        </w:rPr>
        <w:t>级</w:t>
      </w:r>
      <w:r>
        <w:rPr>
          <w:rFonts w:hint="eastAsia" w:ascii="宋体" w:hAnsi="宋体" w:cs="宋体"/>
          <w:sz w:val="28"/>
          <w:szCs w:val="28"/>
          <w:lang w:eastAsia="zh-CN"/>
        </w:rPr>
        <w:t>四</w:t>
      </w:r>
      <w:r>
        <w:rPr>
          <w:rFonts w:hint="eastAsia" w:ascii="宋体" w:hAnsi="宋体" w:cs="宋体"/>
          <w:sz w:val="28"/>
          <w:szCs w:val="28"/>
        </w:rPr>
        <w:t>个年级的临床医学（包括创新班、法语班、全科医学方向）、预防医学、麻醉学、医学影像学、医学影像技术、医学眼视光等12个医学及其相关专业、1</w:t>
      </w:r>
      <w:r>
        <w:rPr>
          <w:rFonts w:hint="eastAsia" w:ascii="宋体" w:hAnsi="宋体" w:cs="宋体"/>
          <w:sz w:val="28"/>
          <w:szCs w:val="28"/>
          <w:lang w:val="en-US" w:eastAsia="zh-CN"/>
        </w:rPr>
        <w:t>39</w:t>
      </w:r>
      <w:r>
        <w:rPr>
          <w:rFonts w:hint="eastAsia" w:ascii="宋体" w:hAnsi="宋体" w:cs="宋体"/>
          <w:sz w:val="28"/>
          <w:szCs w:val="28"/>
        </w:rPr>
        <w:t>个班级的《临床医学导论》《临床技能课》《检体诊断学》《外科学总论和手术学》《实验诊断学》等课程的教学任务，年均开设实验项目100余项，实验学生人时数年均近10万人学时，学生人数年均近万人次，充分满足了医学及其相关专业的临床技能教学需要和人才培养目标，显著提升了学生的职业能力。</w:t>
      </w:r>
    </w:p>
    <w:p>
      <w:pPr>
        <w:keepNext w:val="0"/>
        <w:keepLines w:val="0"/>
        <w:pageBreakBefore w:val="0"/>
        <w:widowControl/>
        <w:kinsoku/>
        <w:wordWrap/>
        <w:overflowPunct/>
        <w:topLinePunct w:val="0"/>
        <w:autoSpaceDE/>
        <w:autoSpaceDN/>
        <w:bidi w:val="0"/>
        <w:adjustRightInd w:val="0"/>
        <w:snapToGrid w:val="0"/>
        <w:spacing w:line="360" w:lineRule="auto"/>
        <w:ind w:firstLine="562" w:firstLineChars="200"/>
        <w:jc w:val="both"/>
        <w:textAlignment w:val="auto"/>
        <w:rPr>
          <w:rFonts w:hint="eastAsia" w:ascii="宋体" w:hAnsi="宋体" w:cs="宋体"/>
          <w:sz w:val="28"/>
          <w:szCs w:val="28"/>
        </w:rPr>
      </w:pPr>
      <w:r>
        <w:rPr>
          <w:rFonts w:hint="eastAsia" w:ascii="宋体" w:hAnsi="宋体" w:cs="宋体"/>
          <w:b/>
          <w:sz w:val="28"/>
          <w:szCs w:val="28"/>
          <w:lang w:val="en-US" w:eastAsia="zh-CN"/>
        </w:rPr>
        <w:t>疫情期间线上教学平稳运行。</w:t>
      </w:r>
      <w:r>
        <w:rPr>
          <w:rFonts w:hint="eastAsia" w:ascii="宋体" w:hAnsi="宋体" w:eastAsia="宋体" w:cs="宋体"/>
          <w:color w:val="000000"/>
          <w:kern w:val="0"/>
          <w:sz w:val="30"/>
          <w:szCs w:val="30"/>
          <w:lang w:val="en-US" w:eastAsia="zh-CN" w:bidi="ar"/>
        </w:rPr>
        <w:t>为贯彻落实</w:t>
      </w:r>
      <w:r>
        <w:rPr>
          <w:rFonts w:hint="eastAsia" w:ascii="宋体" w:hAnsi="宋体" w:cs="宋体"/>
          <w:color w:val="000000"/>
          <w:kern w:val="0"/>
          <w:sz w:val="30"/>
          <w:szCs w:val="30"/>
          <w:lang w:val="en-US" w:eastAsia="zh-CN" w:bidi="ar"/>
        </w:rPr>
        <w:t>教育部</w:t>
      </w:r>
      <w:r>
        <w:rPr>
          <w:rFonts w:hint="eastAsia" w:ascii="宋体" w:hAnsi="宋体" w:eastAsia="宋体" w:cs="宋体"/>
          <w:color w:val="000000"/>
          <w:kern w:val="0"/>
          <w:sz w:val="30"/>
          <w:szCs w:val="30"/>
          <w:lang w:val="en-US" w:eastAsia="zh-CN" w:bidi="ar"/>
        </w:rPr>
        <w:t>关于疫情防控期间“停课不停教，停课不停学”的总体要求，根据《昆明医科大学新冠肺炎疫情防控教学工作组专项工作方案》，</w:t>
      </w:r>
      <w:r>
        <w:rPr>
          <w:rFonts w:hint="eastAsia" w:ascii="宋体" w:hAnsi="宋体" w:cs="宋体"/>
          <w:color w:val="000000"/>
          <w:kern w:val="0"/>
          <w:sz w:val="30"/>
          <w:szCs w:val="30"/>
          <w:lang w:val="en-US" w:eastAsia="zh-CN" w:bidi="ar"/>
        </w:rPr>
        <w:t>制定了</w:t>
      </w:r>
      <w:r>
        <w:rPr>
          <w:rFonts w:hint="eastAsia" w:ascii="宋体" w:hAnsi="宋体" w:cs="宋体"/>
          <w:b w:val="0"/>
          <w:bCs w:val="0"/>
          <w:color w:val="000000"/>
          <w:kern w:val="0"/>
          <w:sz w:val="30"/>
          <w:szCs w:val="30"/>
          <w:lang w:val="en-US" w:eastAsia="zh-CN" w:bidi="ar"/>
        </w:rPr>
        <w:t>《</w:t>
      </w:r>
      <w:r>
        <w:rPr>
          <w:rFonts w:hint="eastAsia" w:ascii="宋体" w:hAnsi="宋体" w:eastAsia="宋体" w:cs="宋体"/>
          <w:b w:val="0"/>
          <w:bCs w:val="0"/>
          <w:color w:val="000000"/>
          <w:kern w:val="0"/>
          <w:sz w:val="30"/>
          <w:szCs w:val="30"/>
        </w:rPr>
        <w:t>临床技能中心本专科线上教学方案</w:t>
      </w:r>
      <w:r>
        <w:rPr>
          <w:rFonts w:hint="eastAsia" w:ascii="宋体" w:hAnsi="宋体" w:cs="宋体"/>
          <w:b w:val="0"/>
          <w:bCs w:val="0"/>
          <w:color w:val="000000"/>
          <w:kern w:val="0"/>
          <w:sz w:val="30"/>
          <w:szCs w:val="30"/>
          <w:lang w:eastAsia="zh-CN"/>
        </w:rPr>
        <w:t>》，</w:t>
      </w:r>
      <w:r>
        <w:rPr>
          <w:rFonts w:hint="eastAsia" w:ascii="宋体" w:hAnsi="宋体" w:cs="宋体"/>
          <w:color w:val="000000"/>
          <w:kern w:val="0"/>
          <w:sz w:val="30"/>
          <w:szCs w:val="30"/>
          <w:lang w:val="en-US" w:eastAsia="zh-CN" w:bidi="ar"/>
        </w:rPr>
        <w:t>主动识变应变，充分利用已搭建的高水平虚拟仿真实验教学平台，创新教学方式，圆满完成了疫情期间的</w:t>
      </w:r>
      <w:r>
        <w:rPr>
          <w:rFonts w:hint="eastAsia" w:ascii="宋体" w:hAnsi="宋体" w:eastAsia="宋体" w:cs="宋体"/>
          <w:b w:val="0"/>
          <w:bCs w:val="0"/>
          <w:color w:val="000000"/>
          <w:kern w:val="0"/>
          <w:sz w:val="30"/>
          <w:szCs w:val="30"/>
        </w:rPr>
        <w:t>线上</w:t>
      </w:r>
      <w:r>
        <w:rPr>
          <w:rFonts w:hint="eastAsia" w:ascii="宋体" w:hAnsi="宋体" w:cs="宋体"/>
          <w:color w:val="000000"/>
          <w:kern w:val="0"/>
          <w:sz w:val="30"/>
          <w:szCs w:val="30"/>
          <w:lang w:val="en-US" w:eastAsia="zh-CN" w:bidi="ar"/>
        </w:rPr>
        <w:t>教学任务。</w:t>
      </w:r>
    </w:p>
    <w:p>
      <w:pPr>
        <w:numPr>
          <w:ilvl w:val="0"/>
          <w:numId w:val="1"/>
        </w:num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人才培养成效评价等。</w:t>
      </w: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来自学校教学质量评价系统、临床教学基地及其后续专业任课教师、研究生培养部门、用人单位的反馈意见表明，中心实施的实践教学对学生的岗位胜任力培养起到了积极有益的作用。在教育部对学校的临床医学专业认证中，中心作为学校临床实践教学建设和改革的亮点和特色展示，得到了专家组的一致认可和高度赞誉。</w:t>
      </w:r>
    </w:p>
    <w:p>
      <w:pPr>
        <w:widowControl/>
        <w:spacing w:line="360" w:lineRule="auto"/>
        <w:ind w:firstLine="562" w:firstLineChars="200"/>
        <w:rPr>
          <w:rFonts w:ascii="宋体" w:hAnsi="宋体" w:cs="宋体"/>
          <w:sz w:val="28"/>
          <w:szCs w:val="28"/>
        </w:rPr>
      </w:pPr>
      <w:r>
        <w:rPr>
          <w:rFonts w:hint="eastAsia" w:ascii="宋体" w:hAnsi="宋体" w:cs="宋体"/>
          <w:b/>
          <w:sz w:val="28"/>
          <w:szCs w:val="28"/>
        </w:rPr>
        <w:t>成效凸显。</w:t>
      </w:r>
      <w:r>
        <w:rPr>
          <w:rFonts w:hint="eastAsia" w:ascii="宋体" w:hAnsi="宋体" w:cs="宋体"/>
          <w:sz w:val="28"/>
          <w:szCs w:val="28"/>
        </w:rPr>
        <w:t>学校临床医学专业的社会声誉良好，生源质量好，学生实践能力强。20</w:t>
      </w:r>
      <w:r>
        <w:rPr>
          <w:rFonts w:hint="eastAsia" w:ascii="宋体" w:hAnsi="宋体" w:cs="宋体"/>
          <w:sz w:val="28"/>
          <w:szCs w:val="28"/>
          <w:lang w:val="en-US" w:eastAsia="zh-CN"/>
        </w:rPr>
        <w:t>20</w:t>
      </w:r>
      <w:r>
        <w:rPr>
          <w:rFonts w:hint="eastAsia" w:ascii="宋体" w:hAnsi="宋体" w:cs="宋体"/>
          <w:sz w:val="28"/>
          <w:szCs w:val="28"/>
        </w:rPr>
        <w:t>年</w:t>
      </w:r>
      <w:r>
        <w:rPr>
          <w:rFonts w:hint="eastAsia" w:ascii="宋体" w:hAnsi="宋体" w:cs="宋体"/>
          <w:sz w:val="28"/>
          <w:szCs w:val="28"/>
          <w:lang w:eastAsia="zh-CN"/>
        </w:rPr>
        <w:t>，</w:t>
      </w:r>
      <w:r>
        <w:rPr>
          <w:rFonts w:hint="eastAsia" w:ascii="宋体" w:hAnsi="宋体" w:cs="宋体"/>
          <w:sz w:val="28"/>
          <w:szCs w:val="28"/>
        </w:rPr>
        <w:t>临床医学专业毕业生参加国家执业医师资格考试的总通过率和实践技能考试通过率都高于全国平均水平。</w:t>
      </w:r>
    </w:p>
    <w:p>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二、人才队伍建设</w:t>
      </w:r>
    </w:p>
    <w:p>
      <w:p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（一）队伍建设基本情况。</w:t>
      </w:r>
    </w:p>
    <w:p>
      <w:pPr>
        <w:adjustRightInd w:val="0"/>
        <w:snapToGrid w:val="0"/>
        <w:spacing w:line="360" w:lineRule="auto"/>
        <w:ind w:firstLine="560" w:firstLineChars="200"/>
        <w:rPr>
          <w:rFonts w:ascii="楷体" w:hAnsi="楷体" w:eastAsia="楷体" w:cs="仿宋_GB2312"/>
          <w:sz w:val="28"/>
          <w:szCs w:val="28"/>
        </w:rPr>
      </w:pPr>
      <w:r>
        <w:rPr>
          <w:rFonts w:hint="eastAsia" w:ascii="宋体" w:hAnsi="宋体"/>
          <w:sz w:val="28"/>
          <w:szCs w:val="28"/>
        </w:rPr>
        <w:t>学校创建了由临床技能中心作为总中心和直属附属医院的三所分中心组成的</w:t>
      </w:r>
      <w:r>
        <w:rPr>
          <w:rFonts w:hint="eastAsia" w:ascii="宋体" w:hAnsi="宋体" w:cs="宋体"/>
          <w:kern w:val="0"/>
          <w:sz w:val="28"/>
          <w:szCs w:val="28"/>
        </w:rPr>
        <w:t>临床模拟训练与床旁实训教学交叉互补的临床技能教学共享平台</w:t>
      </w:r>
      <w:r>
        <w:rPr>
          <w:rFonts w:hint="eastAsia" w:ascii="宋体" w:hAnsi="宋体"/>
          <w:sz w:val="28"/>
          <w:szCs w:val="28"/>
        </w:rPr>
        <w:t>。中心主任由学校聘任，实行主任负责制；设主任1名，副主任4名（包括3名分中心主任）。</w:t>
      </w:r>
      <w:r>
        <w:rPr>
          <w:rFonts w:hint="eastAsia" w:ascii="宋体" w:hAnsi="宋体" w:cs="宋体"/>
          <w:kern w:val="0"/>
          <w:sz w:val="28"/>
          <w:szCs w:val="28"/>
        </w:rPr>
        <w:t>学校大力加强和扶持国家级实验教学中心的人才队伍建设，通过政策倾斜积极为中心引进高水平人才，促进青年教师成长成才。</w:t>
      </w:r>
      <w:r>
        <w:rPr>
          <w:rFonts w:hint="eastAsia" w:ascii="宋体" w:hAnsi="宋体"/>
          <w:sz w:val="28"/>
          <w:szCs w:val="28"/>
        </w:rPr>
        <w:t>现已形成以学科带头人为核心、中青年教师为骨干，结构合理、爱岗敬业的高素质教学、实验和管理队伍。中心现有专任教师、实验技术人员和管理人员18人，其中固定教师11人、实验技术人员5人、管理人员2人。</w:t>
      </w:r>
    </w:p>
    <w:p>
      <w:pPr>
        <w:numPr>
          <w:ilvl w:val="0"/>
          <w:numId w:val="2"/>
        </w:num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队伍建设的举措与取得的成绩等。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562" w:firstLineChars="200"/>
        <w:jc w:val="both"/>
        <w:textAlignment w:val="auto"/>
        <w:outlineLvl w:val="9"/>
        <w:rPr>
          <w:rFonts w:ascii="宋体" w:hAnsi="宋体" w:cs="宋体"/>
          <w:kern w:val="0"/>
          <w:sz w:val="28"/>
          <w:szCs w:val="28"/>
        </w:rPr>
      </w:pPr>
      <w:r>
        <w:rPr>
          <w:rFonts w:hint="eastAsia" w:ascii="宋体" w:hAnsi="宋体" w:cs="宋体"/>
          <w:b/>
          <w:kern w:val="0"/>
          <w:sz w:val="28"/>
          <w:szCs w:val="28"/>
        </w:rPr>
        <w:t>队伍建设显成效。</w:t>
      </w:r>
      <w:r>
        <w:rPr>
          <w:rFonts w:hint="eastAsia" w:ascii="宋体" w:hAnsi="宋体"/>
          <w:sz w:val="28"/>
          <w:szCs w:val="28"/>
        </w:rPr>
        <w:t>根据学校的人才队伍建设发展规划，中心制定了人才队伍建设和青年教师培养计划，多措并举促进高水平团队建设：创新临床技能教学师资培养新体系，举办实验教学改革和实验室建设研讨会，设立实验教学和实验室建设研究项目，开展实验室工作质量体系建设培训等，不断强化教师和实验技术人员的业务能力和研究能力的培养；实施内培引智战略，鼓励中心教师和实验技术人员在职攻读学位，积极参加国内外的进修培训等，促进人才队伍的自我更新和完善。20</w:t>
      </w:r>
      <w:r>
        <w:rPr>
          <w:rFonts w:hint="eastAsia" w:ascii="宋体" w:hAnsi="宋体"/>
          <w:sz w:val="28"/>
          <w:szCs w:val="28"/>
          <w:lang w:val="en-US" w:eastAsia="zh-CN"/>
        </w:rPr>
        <w:t>20</w:t>
      </w:r>
      <w:r>
        <w:rPr>
          <w:rFonts w:hint="eastAsia" w:ascii="宋体" w:hAnsi="宋体"/>
          <w:sz w:val="28"/>
          <w:szCs w:val="28"/>
        </w:rPr>
        <w:t>年，</w:t>
      </w:r>
      <w:r>
        <w:rPr>
          <w:rFonts w:hint="eastAsia" w:ascii="宋体" w:hAnsi="宋体" w:eastAsia="宋体" w:cs="宋体"/>
          <w:color w:val="auto"/>
          <w:kern w:val="2"/>
          <w:sz w:val="28"/>
          <w:szCs w:val="28"/>
          <w:lang w:val="en-US" w:eastAsia="zh-CN" w:bidi="ar-SA"/>
        </w:rPr>
        <w:t>中心主任担任云南省执业技能大赛医学类竞赛的总裁判长；</w:t>
      </w:r>
      <w:r>
        <w:rPr>
          <w:rFonts w:hint="eastAsia" w:ascii="宋体" w:hAnsi="宋体"/>
          <w:sz w:val="28"/>
          <w:szCs w:val="28"/>
        </w:rPr>
        <w:t>2名专任教师报考在职博士研究生</w:t>
      </w:r>
      <w:r>
        <w:rPr>
          <w:rFonts w:hint="eastAsia" w:ascii="宋体" w:hAnsi="宋体" w:eastAsia="宋体" w:cs="宋体"/>
          <w:color w:val="auto"/>
          <w:kern w:val="2"/>
          <w:sz w:val="28"/>
          <w:szCs w:val="28"/>
          <w:lang w:val="en-US" w:eastAsia="zh-CN" w:bidi="ar-SA"/>
        </w:rPr>
        <w:t>；2名教师参加昆明医科大学2020年春季学期网络课程在线教学技能培训；4名教师参加全国医学教育发展中心举办的医学教育大讲堂作第一讲开讲报告网上培训，1名教师参加2020年高等教育质量监测国家数据平台数据采集及分析应用网上培训班，2名教师参加教育部科技司关于召开2020年高校科研实验室安全现场检查启动暨培训会网上培训班；3名教师参加医学人文和临床技能模拟教学师资培训网上学习班</w:t>
      </w:r>
      <w:r>
        <w:rPr>
          <w:rFonts w:hint="eastAsia" w:ascii="宋体" w:hAnsi="宋体" w:cs="宋体"/>
          <w:kern w:val="0"/>
          <w:sz w:val="28"/>
          <w:szCs w:val="28"/>
        </w:rPr>
        <w:t>；培训了6名承担MBBS全英教学的专任教师。</w:t>
      </w:r>
    </w:p>
    <w:p>
      <w:pPr>
        <w:pStyle w:val="15"/>
        <w:snapToGrid w:val="0"/>
        <w:spacing w:line="360" w:lineRule="auto"/>
        <w:ind w:firstLine="562" w:firstLineChars="200"/>
        <w:jc w:val="both"/>
        <w:rPr>
          <w:rFonts w:ascii="宋体" w:hAnsi="宋体" w:cs="宋体"/>
          <w:sz w:val="28"/>
          <w:szCs w:val="28"/>
        </w:rPr>
      </w:pPr>
      <w:r>
        <w:rPr>
          <w:rFonts w:hint="eastAsia" w:ascii="宋体" w:hAnsi="宋体" w:eastAsia="宋体"/>
          <w:b/>
          <w:sz w:val="28"/>
          <w:szCs w:val="28"/>
        </w:rPr>
        <w:t>教师培养新机制。</w:t>
      </w:r>
      <w:r>
        <w:rPr>
          <w:rFonts w:hint="eastAsia" w:ascii="宋体" w:hAnsi="宋体" w:eastAsia="宋体"/>
          <w:sz w:val="28"/>
          <w:szCs w:val="28"/>
        </w:rPr>
        <w:t>一是创建临床技能教学教师分层次阶梯式培养方式：基础临床技能教学的教师以学校总中心和医院分中心的青年教师为主体，重在通过教学实践培养青年教师的教学基本功。综合临床技能教学的教师以学校总中心和医院分中心的临床学科骨干教师为主体，促进临床教师临床实践与教学活动的有机结合，以临床教师的科学思维方法和熟练的临床技能，教授学生规范的临床操作和严谨的临床工作方法，同时教学相长，全面提高临床学科骨干教师的教学能力和临床科研水平。专科临床技能教学的教师以医院分中心的临床学科专家为带头人，以临床专家精湛的学术造诣，向医学生传授博大精深的人文精神和医学知识。促进临床理论教学与实践教学互通的教师，课程核心骨干教师相对稳定的临床教学师资队伍。二是通过举办各级各类临床技能大赛，为云南省训练和培养了一批高水平的临床技能教学骨干师资队伍和大赛裁判，促进医学模拟教学能力和竞技水平的全面提升。</w:t>
      </w:r>
    </w:p>
    <w:p>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三、教学改革与科学研究</w:t>
      </w:r>
    </w:p>
    <w:p>
      <w:p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（一）教学改革立项、进展、完成等情况。</w:t>
      </w:r>
    </w:p>
    <w:p>
      <w:pPr>
        <w:adjustRightInd w:val="0"/>
        <w:snapToGrid w:val="0"/>
        <w:spacing w:line="360" w:lineRule="auto"/>
        <w:ind w:firstLine="562" w:firstLineChars="200"/>
        <w:rPr>
          <w:rFonts w:ascii="宋体" w:hAnsi="宋体"/>
          <w:sz w:val="28"/>
          <w:szCs w:val="28"/>
        </w:rPr>
      </w:pPr>
      <w:r>
        <w:rPr>
          <w:rFonts w:hint="eastAsia" w:ascii="宋体" w:hAnsi="宋体"/>
          <w:b/>
          <w:sz w:val="28"/>
          <w:szCs w:val="28"/>
        </w:rPr>
        <w:t>持续深化教学改革。</w:t>
      </w:r>
      <w:r>
        <w:rPr>
          <w:rFonts w:hint="eastAsia" w:ascii="宋体" w:hAnsi="宋体"/>
          <w:sz w:val="28"/>
          <w:szCs w:val="28"/>
        </w:rPr>
        <w:t>为实现学校高水平医科大学的建设目标，结合相关专业的人才培养方案和技能目标要求，根据学校教育教学改革的总体部署，中心创新人才培养模式，以学分制改革为抓手，开展课程准入评定工作和</w:t>
      </w:r>
      <w:r>
        <w:rPr>
          <w:rFonts w:hint="eastAsia" w:ascii="宋体" w:hAnsi="宋体"/>
          <w:sz w:val="28"/>
          <w:szCs w:val="28"/>
          <w:lang w:eastAsia="zh-CN"/>
        </w:rPr>
        <w:t>课程质量评价</w:t>
      </w:r>
      <w:r>
        <w:rPr>
          <w:rFonts w:hint="eastAsia" w:ascii="宋体" w:hAnsi="宋体"/>
          <w:sz w:val="28"/>
          <w:szCs w:val="28"/>
        </w:rPr>
        <w:t>工作。根据“中国本科医学教育标准-临床医学专业”对临床医学本科生的基本要求，构建了</w:t>
      </w:r>
      <w:r>
        <w:rPr>
          <w:rFonts w:ascii="宋体" w:hAnsi="宋体" w:cs="??"/>
          <w:sz w:val="28"/>
          <w:szCs w:val="28"/>
        </w:rPr>
        <w:t>“</w:t>
      </w:r>
      <w:r>
        <w:rPr>
          <w:rFonts w:hint="eastAsia" w:ascii="宋体" w:hAnsi="宋体"/>
          <w:sz w:val="28"/>
          <w:szCs w:val="28"/>
        </w:rPr>
        <w:t>临床操作</w:t>
      </w:r>
      <w:r>
        <w:rPr>
          <w:rFonts w:hint="eastAsia" w:ascii="宋体" w:hAnsi="宋体" w:cs="??"/>
          <w:sz w:val="28"/>
          <w:szCs w:val="28"/>
        </w:rPr>
        <w:t>—</w:t>
      </w:r>
      <w:r>
        <w:rPr>
          <w:rFonts w:hint="eastAsia" w:ascii="宋体" w:hAnsi="宋体"/>
          <w:sz w:val="28"/>
          <w:szCs w:val="28"/>
        </w:rPr>
        <w:t>综合训练</w:t>
      </w:r>
      <w:r>
        <w:rPr>
          <w:rFonts w:hint="eastAsia" w:ascii="宋体" w:hAnsi="宋体" w:cs="??"/>
          <w:sz w:val="28"/>
          <w:szCs w:val="28"/>
        </w:rPr>
        <w:t>—</w:t>
      </w:r>
      <w:r>
        <w:rPr>
          <w:rFonts w:hint="eastAsia" w:ascii="宋体" w:hAnsi="宋体"/>
          <w:sz w:val="28"/>
          <w:szCs w:val="28"/>
        </w:rPr>
        <w:t>能力提升</w:t>
      </w:r>
      <w:r>
        <w:rPr>
          <w:rFonts w:ascii="宋体" w:hAnsi="宋体" w:cs="??"/>
          <w:sz w:val="28"/>
          <w:szCs w:val="28"/>
        </w:rPr>
        <w:t>”</w:t>
      </w:r>
      <w:r>
        <w:rPr>
          <w:rFonts w:hint="eastAsia" w:ascii="宋体" w:hAnsi="宋体"/>
          <w:sz w:val="28"/>
          <w:szCs w:val="28"/>
        </w:rPr>
        <w:t>三位一体的医学虚拟仿真实验教学新体系，20</w:t>
      </w:r>
      <w:r>
        <w:rPr>
          <w:rFonts w:hint="eastAsia" w:ascii="宋体" w:hAnsi="宋体"/>
          <w:sz w:val="28"/>
          <w:szCs w:val="28"/>
          <w:lang w:val="en-US" w:eastAsia="zh-CN"/>
        </w:rPr>
        <w:t>20</w:t>
      </w:r>
      <w:r>
        <w:rPr>
          <w:rFonts w:hint="eastAsia" w:ascii="宋体" w:hAnsi="宋体"/>
          <w:sz w:val="28"/>
          <w:szCs w:val="28"/>
        </w:rPr>
        <w:t>年</w:t>
      </w:r>
      <w:r>
        <w:rPr>
          <w:rFonts w:hint="eastAsia" w:ascii="宋体" w:hAnsi="宋体" w:eastAsia="宋体" w:cs="宋体"/>
          <w:kern w:val="0"/>
          <w:sz w:val="28"/>
          <w:szCs w:val="28"/>
        </w:rPr>
        <w:t>获得学校的专项经费投入</w:t>
      </w:r>
      <w:r>
        <w:rPr>
          <w:rFonts w:hint="eastAsia" w:ascii="宋体" w:hAnsi="宋体" w:eastAsia="宋体" w:cs="宋体"/>
          <w:kern w:val="0"/>
          <w:sz w:val="28"/>
          <w:szCs w:val="28"/>
          <w:lang w:val="en-US" w:eastAsia="zh-CN"/>
        </w:rPr>
        <w:t>130</w:t>
      </w:r>
      <w:r>
        <w:rPr>
          <w:rFonts w:hint="eastAsia" w:ascii="宋体" w:hAnsi="宋体" w:eastAsia="宋体" w:cs="宋体"/>
          <w:kern w:val="0"/>
          <w:sz w:val="28"/>
          <w:szCs w:val="28"/>
        </w:rPr>
        <w:t>万元建成省内</w:t>
      </w:r>
      <w:r>
        <w:rPr>
          <w:rFonts w:hint="eastAsia" w:ascii="宋体" w:hAnsi="宋体" w:eastAsia="宋体" w:cs="宋体"/>
          <w:kern w:val="0"/>
          <w:sz w:val="28"/>
          <w:szCs w:val="28"/>
          <w:lang w:eastAsia="zh-CN"/>
        </w:rPr>
        <w:t>第二</w:t>
      </w:r>
      <w:r>
        <w:rPr>
          <w:rFonts w:hint="eastAsia" w:ascii="宋体" w:hAnsi="宋体" w:eastAsia="宋体" w:cs="宋体"/>
          <w:kern w:val="0"/>
          <w:sz w:val="28"/>
          <w:szCs w:val="28"/>
        </w:rPr>
        <w:t>期虚拟仿真实验室，为“双一流”医学人才的培养搭建多学科、多专业交叉的现代信息化虚拟仿真教学平台</w:t>
      </w:r>
      <w:r>
        <w:rPr>
          <w:rFonts w:hint="eastAsia" w:ascii="宋体" w:hAnsi="宋体" w:eastAsia="宋体" w:cs="宋体"/>
          <w:sz w:val="28"/>
          <w:szCs w:val="28"/>
        </w:rPr>
        <w:t>。</w:t>
      </w:r>
      <w:r>
        <w:rPr>
          <w:rFonts w:hint="eastAsia" w:ascii="宋体" w:hAnsi="宋体"/>
          <w:sz w:val="28"/>
          <w:szCs w:val="28"/>
        </w:rPr>
        <w:t>实施与国家临床执业医师资格考试接轨的OSCE，构建</w:t>
      </w:r>
      <w:r>
        <w:rPr>
          <w:rFonts w:ascii="宋体" w:hAnsi="宋体" w:cs="??"/>
          <w:sz w:val="28"/>
          <w:szCs w:val="28"/>
        </w:rPr>
        <w:t>“</w:t>
      </w:r>
      <w:r>
        <w:rPr>
          <w:rFonts w:hint="eastAsia" w:ascii="宋体" w:hAnsi="宋体"/>
          <w:sz w:val="28"/>
          <w:szCs w:val="28"/>
        </w:rPr>
        <w:t>医德</w:t>
      </w:r>
      <w:r>
        <w:rPr>
          <w:rFonts w:hint="eastAsia" w:ascii="宋体" w:hAnsi="宋体" w:cs="??"/>
          <w:sz w:val="28"/>
          <w:szCs w:val="28"/>
        </w:rPr>
        <w:t>—</w:t>
      </w:r>
      <w:r>
        <w:rPr>
          <w:rFonts w:hint="eastAsia" w:ascii="宋体" w:hAnsi="宋体"/>
          <w:sz w:val="28"/>
          <w:szCs w:val="28"/>
        </w:rPr>
        <w:t>知识</w:t>
      </w:r>
      <w:r>
        <w:rPr>
          <w:rFonts w:hint="eastAsia" w:ascii="宋体" w:hAnsi="宋体" w:cs="??"/>
          <w:sz w:val="28"/>
          <w:szCs w:val="28"/>
        </w:rPr>
        <w:t>—</w:t>
      </w:r>
      <w:r>
        <w:rPr>
          <w:rFonts w:hint="eastAsia" w:ascii="宋体" w:hAnsi="宋体"/>
          <w:sz w:val="28"/>
          <w:szCs w:val="28"/>
        </w:rPr>
        <w:t>能力</w:t>
      </w:r>
      <w:r>
        <w:rPr>
          <w:rFonts w:ascii="宋体" w:hAnsi="宋体" w:cs="??"/>
          <w:sz w:val="28"/>
          <w:szCs w:val="28"/>
        </w:rPr>
        <w:t>”</w:t>
      </w:r>
      <w:r>
        <w:rPr>
          <w:rFonts w:hint="eastAsia" w:ascii="宋体" w:hAnsi="宋体"/>
          <w:sz w:val="28"/>
          <w:szCs w:val="28"/>
        </w:rPr>
        <w:t>互动的教学评价体系，进一步促进临床技能教学质量的提高和教学效能的发挥，充分体现了学校的办学优势和特色，更好的发挥了国家级实验教学中心的示范辐射作用。</w:t>
      </w:r>
      <w:r>
        <w:rPr>
          <w:rFonts w:ascii="宋体" w:hAnsi="宋体" w:cs="??"/>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562" w:firstLineChars="200"/>
        <w:jc w:val="both"/>
        <w:textAlignment w:val="auto"/>
        <w:outlineLvl w:val="9"/>
        <w:rPr>
          <w:rFonts w:ascii="宋体" w:hAnsi="宋体" w:eastAsia="宋体" w:cs="宋体"/>
          <w:color w:val="000000"/>
          <w:sz w:val="28"/>
          <w:szCs w:val="28"/>
        </w:rPr>
      </w:pPr>
      <w:r>
        <w:rPr>
          <w:rFonts w:hint="eastAsia" w:ascii="宋体" w:hAnsi="宋体" w:cs="宋体"/>
          <w:b/>
          <w:sz w:val="28"/>
          <w:szCs w:val="28"/>
        </w:rPr>
        <w:t>教学成果显现。</w:t>
      </w:r>
      <w:r>
        <w:rPr>
          <w:rFonts w:hint="eastAsia" w:ascii="宋体" w:hAnsi="宋体" w:cs="宋体"/>
          <w:sz w:val="28"/>
          <w:szCs w:val="28"/>
        </w:rPr>
        <w:t>中心教师主持和参与省校级教育改革项目</w:t>
      </w:r>
      <w:r>
        <w:rPr>
          <w:rFonts w:hint="eastAsia" w:ascii="宋体" w:hAnsi="宋体" w:cs="宋体"/>
          <w:sz w:val="28"/>
          <w:szCs w:val="28"/>
          <w:lang w:val="en-US" w:eastAsia="zh-CN"/>
        </w:rPr>
        <w:t>8</w:t>
      </w:r>
      <w:r>
        <w:rPr>
          <w:rFonts w:hint="eastAsia" w:ascii="宋体" w:hAnsi="宋体" w:cs="宋体"/>
          <w:color w:val="000000"/>
          <w:sz w:val="28"/>
          <w:szCs w:val="28"/>
        </w:rPr>
        <w:t>项，发表教学论文</w:t>
      </w:r>
      <w:r>
        <w:rPr>
          <w:rFonts w:hint="eastAsia" w:ascii="宋体" w:hAnsi="宋体" w:cs="宋体"/>
          <w:color w:val="000000"/>
          <w:sz w:val="28"/>
          <w:szCs w:val="28"/>
          <w:lang w:val="en-US" w:eastAsia="zh-CN"/>
        </w:rPr>
        <w:t>8</w:t>
      </w:r>
      <w:r>
        <w:rPr>
          <w:rFonts w:hint="eastAsia" w:ascii="宋体" w:hAnsi="宋体" w:cs="宋体"/>
          <w:color w:val="000000"/>
          <w:sz w:val="28"/>
          <w:szCs w:val="28"/>
        </w:rPr>
        <w:t>篇。</w:t>
      </w:r>
      <w:r>
        <w:rPr>
          <w:rFonts w:hint="eastAsia" w:ascii="宋体" w:hAnsi="宋体" w:cs="宋体"/>
          <w:sz w:val="28"/>
          <w:szCs w:val="28"/>
        </w:rPr>
        <w:t>积极开展教育教学改革，更新实验教学内容，完成更新实验项目</w:t>
      </w:r>
      <w:r>
        <w:rPr>
          <w:rFonts w:hint="eastAsia" w:ascii="宋体" w:hAnsi="宋体" w:cs="??"/>
          <w:sz w:val="28"/>
          <w:szCs w:val="28"/>
          <w:lang w:val="en-US" w:eastAsia="zh-CN"/>
        </w:rPr>
        <w:t>10</w:t>
      </w:r>
      <w:r>
        <w:rPr>
          <w:rFonts w:hint="eastAsia" w:ascii="宋体" w:hAnsi="宋体" w:cs="宋体"/>
          <w:sz w:val="28"/>
          <w:szCs w:val="28"/>
        </w:rPr>
        <w:t>项，修订相关课程的实验大纲</w:t>
      </w:r>
      <w:r>
        <w:rPr>
          <w:rFonts w:hint="eastAsia" w:ascii="宋体" w:hAnsi="宋体" w:cs="??"/>
          <w:sz w:val="28"/>
          <w:szCs w:val="28"/>
          <w:lang w:val="en-US" w:eastAsia="zh-CN"/>
        </w:rPr>
        <w:t>7</w:t>
      </w:r>
      <w:r>
        <w:rPr>
          <w:rFonts w:hint="eastAsia" w:ascii="宋体" w:hAnsi="宋体" w:cs="宋体"/>
          <w:sz w:val="28"/>
          <w:szCs w:val="28"/>
        </w:rPr>
        <w:t>门。开展了多样化的临床技能教学改革及其应用的探索，</w:t>
      </w:r>
      <w:r>
        <w:rPr>
          <w:rFonts w:hint="eastAsia" w:ascii="宋体" w:hAnsi="宋体" w:eastAsia="宋体" w:cs="宋体"/>
          <w:color w:val="000000"/>
          <w:kern w:val="2"/>
          <w:sz w:val="28"/>
          <w:szCs w:val="28"/>
          <w:lang w:val="en-US" w:eastAsia="zh-CN" w:bidi="ar-SA"/>
        </w:rPr>
        <w:t>完成5项国家自然科学基金项目申报：分别为寸碧芸老师主持的“缺氧调控p53-miRNAs对溶瘤腺病毒治疗葡萄膜黑色素瘤作用效果影响的机制研究”、陈丽玲老师主持的“商陆、牛磺酸干预树鼩高脂血症氧化应激的研究”、杨晖老师主持的“菊粉通过重塑ApoE-/-小鼠肠道菌群改善动脉粥样硬化的作用及机制的研究”、郭艳老师主持的“围绝经期妇女自发糖尿病蛋白芯片研究”及杨蕴芝老师主持的“HCF1调控NF-κB信号通路在猪伪狂犬病毒感染致病中的作用及机制”课题成功被学校推选上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562" w:firstLineChars="200"/>
        <w:jc w:val="both"/>
        <w:textAlignment w:val="auto"/>
        <w:outlineLvl w:val="9"/>
        <w:rPr>
          <w:rFonts w:ascii="楷体" w:hAnsi="楷体" w:eastAsia="楷体" w:cs="仿宋_GB2312"/>
          <w:sz w:val="28"/>
          <w:szCs w:val="28"/>
        </w:rPr>
      </w:pPr>
      <w:r>
        <w:rPr>
          <w:rFonts w:hint="eastAsia" w:ascii="宋体" w:hAnsi="宋体" w:cs="仿宋"/>
          <w:b/>
          <w:sz w:val="28"/>
          <w:szCs w:val="28"/>
        </w:rPr>
        <w:t>以应用促改革。</w:t>
      </w:r>
      <w:r>
        <w:rPr>
          <w:rFonts w:hint="eastAsia" w:ascii="宋体" w:hAnsi="宋体" w:cs="仿宋"/>
          <w:sz w:val="28"/>
          <w:szCs w:val="28"/>
        </w:rPr>
        <w:t>根据医教协同深化医学人才培养改革的要求，搭建院校教育、毕业后教育与医学继续教育的医学模拟教学共享平台。</w:t>
      </w:r>
      <w:r>
        <w:rPr>
          <w:rFonts w:hint="eastAsia" w:ascii="宋体" w:hAnsi="宋体" w:cs="仿宋"/>
          <w:kern w:val="0"/>
          <w:sz w:val="28"/>
          <w:szCs w:val="28"/>
        </w:rPr>
        <w:t>自</w:t>
      </w:r>
      <w:r>
        <w:rPr>
          <w:rFonts w:ascii="宋体" w:hAnsi="宋体" w:cs="仿宋"/>
          <w:kern w:val="0"/>
          <w:sz w:val="28"/>
          <w:szCs w:val="28"/>
        </w:rPr>
        <w:t>2009</w:t>
      </w:r>
      <w:r>
        <w:rPr>
          <w:rFonts w:hint="eastAsia" w:ascii="宋体" w:hAnsi="宋体" w:cs="仿宋"/>
          <w:kern w:val="0"/>
          <w:sz w:val="28"/>
          <w:szCs w:val="28"/>
        </w:rPr>
        <w:t>年，中心连续1</w:t>
      </w:r>
      <w:r>
        <w:rPr>
          <w:rFonts w:hint="eastAsia" w:ascii="宋体" w:hAnsi="宋体" w:cs="仿宋"/>
          <w:kern w:val="0"/>
          <w:sz w:val="28"/>
          <w:szCs w:val="28"/>
          <w:lang w:val="en-US" w:eastAsia="zh-CN"/>
        </w:rPr>
        <w:t>2</w:t>
      </w:r>
      <w:r>
        <w:rPr>
          <w:rFonts w:hint="eastAsia" w:ascii="宋体" w:hAnsi="宋体" w:cs="仿宋"/>
          <w:kern w:val="0"/>
          <w:sz w:val="28"/>
          <w:szCs w:val="28"/>
        </w:rPr>
        <w:t>年执考云南省临床执业医师资格实践技能考试，</w:t>
      </w:r>
      <w:r>
        <w:rPr>
          <w:rFonts w:hint="eastAsia" w:ascii="宋体" w:hAnsi="宋体" w:cs="仿宋"/>
          <w:kern w:val="0"/>
          <w:sz w:val="28"/>
          <w:szCs w:val="28"/>
          <w:lang w:val="en-US" w:eastAsia="zh-CN"/>
        </w:rPr>
        <w:t>2020年首次</w:t>
      </w:r>
      <w:r>
        <w:rPr>
          <w:rFonts w:hint="eastAsia" w:ascii="宋体" w:hAnsi="宋体" w:eastAsia="宋体" w:cs="宋体"/>
          <w:color w:val="000000"/>
          <w:kern w:val="2"/>
          <w:sz w:val="28"/>
          <w:szCs w:val="28"/>
          <w:lang w:val="en-US" w:eastAsia="zh-CN" w:bidi="ar-SA"/>
        </w:rPr>
        <w:t>执考昆明、玉溪、楚雄三地5463名考生,考生人数创历史新高，通过认真组织开展，确保了考试的平稳运行，确保了试卷安全和万无一失，确保了评分评判公平公正，未发生任何违规违纪现象和考生的投诉。</w:t>
      </w:r>
    </w:p>
    <w:p>
      <w:pPr>
        <w:numPr>
          <w:ilvl w:val="0"/>
          <w:numId w:val="1"/>
        </w:num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科学研究等情况。</w:t>
      </w:r>
    </w:p>
    <w:p>
      <w:pPr>
        <w:adjustRightInd w:val="0"/>
        <w:snapToGrid w:val="0"/>
        <w:spacing w:line="360" w:lineRule="auto"/>
        <w:ind w:firstLine="560" w:firstLineChars="200"/>
        <w:rPr>
          <w:rFonts w:ascii="楷体" w:hAnsi="楷体" w:eastAsia="楷体" w:cs="仿宋_GB2312"/>
          <w:sz w:val="28"/>
          <w:szCs w:val="28"/>
        </w:rPr>
      </w:pPr>
      <w:r>
        <w:rPr>
          <w:rFonts w:hint="eastAsia" w:ascii="宋体" w:hAnsi="宋体"/>
          <w:sz w:val="28"/>
          <w:szCs w:val="28"/>
        </w:rPr>
        <w:t>中心鼓励教师根据自己的专业特长、研究项目及其成果，积极开发实验项目，及时将科研成果转化为教学资源，促进科研与教学的有效结合和互动。中心教师承担科研项目共计</w:t>
      </w:r>
      <w:r>
        <w:rPr>
          <w:rFonts w:hint="eastAsia" w:ascii="宋体" w:hAnsi="宋体"/>
          <w:sz w:val="28"/>
          <w:szCs w:val="28"/>
          <w:lang w:val="en-US" w:eastAsia="zh-CN"/>
        </w:rPr>
        <w:t>8</w:t>
      </w:r>
      <w:r>
        <w:rPr>
          <w:rFonts w:hint="eastAsia" w:ascii="宋体" w:hAnsi="宋体"/>
          <w:color w:val="000000"/>
          <w:sz w:val="28"/>
          <w:szCs w:val="28"/>
        </w:rPr>
        <w:t>项，发表论文</w:t>
      </w:r>
      <w:r>
        <w:rPr>
          <w:rFonts w:hint="eastAsia" w:ascii="宋体" w:hAnsi="宋体"/>
          <w:color w:val="000000"/>
          <w:sz w:val="28"/>
          <w:szCs w:val="28"/>
          <w:lang w:val="en-US" w:eastAsia="zh-CN"/>
        </w:rPr>
        <w:t>8</w:t>
      </w:r>
      <w:r>
        <w:rPr>
          <w:rFonts w:hint="eastAsia" w:ascii="宋体" w:hAnsi="宋体"/>
          <w:color w:val="000000"/>
          <w:sz w:val="28"/>
          <w:szCs w:val="28"/>
        </w:rPr>
        <w:t>篇，</w:t>
      </w:r>
      <w:r>
        <w:rPr>
          <w:rFonts w:hint="eastAsia" w:ascii="宋体" w:hAnsi="宋体"/>
          <w:sz w:val="28"/>
          <w:szCs w:val="28"/>
        </w:rPr>
        <w:t>推动了中心的可持续发展。</w:t>
      </w:r>
    </w:p>
    <w:p>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四、信息化建设、开放运行和示范辐射</w:t>
      </w:r>
    </w:p>
    <w:p>
      <w:p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（一）信息化资源、平台建设，人员信息化能力提升等情况。</w:t>
      </w:r>
    </w:p>
    <w:p>
      <w:pPr>
        <w:adjustRightInd w:val="0"/>
        <w:snapToGrid w:val="0"/>
        <w:spacing w:line="360" w:lineRule="auto"/>
        <w:ind w:firstLine="562" w:firstLineChars="200"/>
        <w:rPr>
          <w:rFonts w:ascii="宋体" w:hAnsi="宋体"/>
          <w:sz w:val="28"/>
          <w:szCs w:val="28"/>
        </w:rPr>
      </w:pPr>
      <w:r>
        <w:rPr>
          <w:rFonts w:hint="eastAsia" w:ascii="宋体" w:hAnsi="宋体"/>
          <w:b/>
          <w:sz w:val="28"/>
          <w:szCs w:val="28"/>
        </w:rPr>
        <w:t>重视信息平台建设。</w:t>
      </w:r>
      <w:r>
        <w:rPr>
          <w:rFonts w:hint="eastAsia" w:ascii="宋体" w:hAnsi="宋体" w:cs="宋体"/>
          <w:color w:val="auto"/>
          <w:kern w:val="0"/>
          <w:sz w:val="28"/>
          <w:szCs w:val="28"/>
          <w:lang w:val="en-US" w:eastAsia="zh-CN"/>
        </w:rPr>
        <w:t>2020年，</w:t>
      </w:r>
      <w:r>
        <w:rPr>
          <w:rFonts w:hint="eastAsia" w:ascii="宋体" w:hAnsi="宋体" w:cs="宋体"/>
          <w:color w:val="auto"/>
          <w:kern w:val="0"/>
          <w:sz w:val="28"/>
          <w:szCs w:val="28"/>
        </w:rPr>
        <w:t>中心已完成了第</w:t>
      </w:r>
      <w:r>
        <w:rPr>
          <w:rFonts w:hint="eastAsia" w:ascii="宋体" w:hAnsi="宋体" w:cs="宋体"/>
          <w:color w:val="auto"/>
          <w:kern w:val="0"/>
          <w:sz w:val="28"/>
          <w:szCs w:val="28"/>
          <w:lang w:eastAsia="zh-CN"/>
        </w:rPr>
        <w:t>二</w:t>
      </w:r>
      <w:r>
        <w:rPr>
          <w:rFonts w:hint="eastAsia" w:ascii="宋体" w:hAnsi="宋体" w:cs="宋体"/>
          <w:color w:val="auto"/>
          <w:kern w:val="0"/>
          <w:sz w:val="28"/>
          <w:szCs w:val="28"/>
        </w:rPr>
        <w:t>期虚拟仿真项目</w:t>
      </w:r>
      <w:r>
        <w:rPr>
          <w:rFonts w:hint="eastAsia" w:ascii="宋体" w:hAnsi="宋体" w:cs="宋体"/>
          <w:color w:val="auto"/>
          <w:kern w:val="0"/>
          <w:sz w:val="28"/>
          <w:szCs w:val="28"/>
          <w:lang w:eastAsia="zh-CN"/>
        </w:rPr>
        <w:t>的建设工作</w:t>
      </w:r>
      <w:r>
        <w:rPr>
          <w:rFonts w:hint="eastAsia" w:ascii="宋体" w:hAnsi="宋体" w:cs="宋体"/>
          <w:color w:val="auto"/>
          <w:kern w:val="0"/>
          <w:sz w:val="28"/>
          <w:szCs w:val="28"/>
        </w:rPr>
        <w:t>，</w:t>
      </w:r>
      <w:r>
        <w:rPr>
          <w:rFonts w:hint="eastAsia" w:ascii="宋体" w:hAnsi="宋体" w:eastAsia="宋体" w:cs="宋体"/>
          <w:color w:val="auto"/>
          <w:sz w:val="28"/>
          <w:szCs w:val="28"/>
          <w:lang w:val="en-US" w:eastAsia="zh-CN"/>
        </w:rPr>
        <w:t>共建成虚拟仿真实验教学资源管理系统、临床综合穿刺术虚拟仿真教学软件、分段诊刮虚拟教学软件、深静脉置管术虚拟仿真教学软件等10个模块</w:t>
      </w:r>
      <w:r>
        <w:rPr>
          <w:rFonts w:hint="eastAsia" w:ascii="宋体" w:hAnsi="宋体" w:cs="宋体"/>
          <w:color w:val="auto"/>
          <w:kern w:val="0"/>
          <w:sz w:val="28"/>
          <w:szCs w:val="28"/>
        </w:rPr>
        <w:t>；下一步继续推进中心虚拟仿真教学项目建设，同时，进一步强化</w:t>
      </w:r>
      <w:r>
        <w:rPr>
          <w:rFonts w:hint="eastAsia" w:ascii="宋体" w:hAnsi="宋体"/>
          <w:color w:val="auto"/>
          <w:sz w:val="28"/>
          <w:szCs w:val="28"/>
        </w:rPr>
        <w:t>课程教师团队和虚拟仿真课程教学建设等，为申报国家级虚拟仿真实验中心做好准备。</w:t>
      </w:r>
      <w:r>
        <w:rPr>
          <w:rFonts w:hint="eastAsia" w:ascii="宋体" w:hAnsi="宋体"/>
          <w:sz w:val="28"/>
          <w:szCs w:val="28"/>
        </w:rPr>
        <w:t xml:space="preserve">  </w:t>
      </w:r>
    </w:p>
    <w:p>
      <w:pPr>
        <w:widowControl/>
        <w:adjustRightInd w:val="0"/>
        <w:snapToGrid w:val="0"/>
        <w:spacing w:line="360" w:lineRule="auto"/>
        <w:ind w:firstLine="562" w:firstLineChars="200"/>
        <w:rPr>
          <w:rFonts w:ascii="宋体" w:hAnsi="宋体"/>
          <w:sz w:val="28"/>
          <w:szCs w:val="28"/>
        </w:rPr>
      </w:pPr>
      <w:r>
        <w:rPr>
          <w:rFonts w:hint="eastAsia" w:ascii="宋体" w:hAnsi="宋体"/>
          <w:b/>
          <w:bCs/>
          <w:sz w:val="28"/>
          <w:szCs w:val="28"/>
          <w:lang w:eastAsia="zh-CN"/>
        </w:rPr>
        <w:t>日常信息化管理平稳发展。</w:t>
      </w:r>
      <w:r>
        <w:rPr>
          <w:rFonts w:hint="eastAsia" w:ascii="宋体" w:hAnsi="宋体"/>
          <w:sz w:val="28"/>
          <w:szCs w:val="28"/>
        </w:rPr>
        <w:t>中心网站集信息平台、管理平台、服务平台等多种功能于一体，设有专人负责网站的维护、网上数据发布、处理实验预约、实验室使用申请等工作，做到中心信息及时上网、网上信息及时处理等。</w:t>
      </w:r>
    </w:p>
    <w:p>
      <w:pPr>
        <w:adjustRightInd w:val="0"/>
        <w:snapToGrid w:val="0"/>
        <w:spacing w:line="360" w:lineRule="auto"/>
        <w:ind w:firstLine="562" w:firstLineChars="200"/>
        <w:rPr>
          <w:rFonts w:ascii="宋体" w:hAnsi="宋体"/>
          <w:sz w:val="28"/>
          <w:szCs w:val="28"/>
        </w:rPr>
      </w:pPr>
      <w:r>
        <w:rPr>
          <w:rFonts w:hint="eastAsia" w:ascii="宋体" w:hAnsi="宋体" w:cs="宋体"/>
          <w:b/>
          <w:kern w:val="0"/>
          <w:sz w:val="28"/>
          <w:szCs w:val="28"/>
        </w:rPr>
        <w:t>推进信息资源建设。</w:t>
      </w:r>
      <w:r>
        <w:rPr>
          <w:rFonts w:hint="eastAsia" w:ascii="宋体" w:hAnsi="宋体" w:cs="宋体"/>
          <w:kern w:val="0"/>
          <w:sz w:val="28"/>
          <w:szCs w:val="28"/>
        </w:rPr>
        <w:t>开设了国家级实验教学示范中心网页，介绍国家级实验教学示范中心的建设情况、发展历程、教学方法、教学成果等，并及时更新内容，不断扩大中心的示范辐射作用和社会影响力。</w:t>
      </w:r>
      <w:r>
        <w:rPr>
          <w:rFonts w:hint="eastAsia" w:ascii="宋体" w:hAnsi="宋体"/>
          <w:sz w:val="28"/>
          <w:szCs w:val="28"/>
        </w:rPr>
        <w:t>建成了网络化实验教学和实验室管理信息平台，该系统可向学生提供实验课程简介、实验信息发布、在线测试等双向互动教学活动，突破了时间和空间的限制，方便了实验教学活动的开展，为网络实验教学资源的开放共享、高效管理提供了保证。建成了云南省首个医师资格实践技能考试信息化系统和在线训练室，</w:t>
      </w:r>
      <w:r>
        <w:rPr>
          <w:rFonts w:hint="eastAsia" w:ascii="宋体" w:hAnsi="宋体" w:cs="宋体"/>
          <w:sz w:val="30"/>
          <w:szCs w:val="30"/>
          <w:lang w:eastAsia="zh-CN"/>
        </w:rPr>
        <w:t>今年</w:t>
      </w:r>
      <w:r>
        <w:rPr>
          <w:rFonts w:hint="eastAsia" w:ascii="宋体" w:hAnsi="宋体" w:cs="宋体"/>
          <w:sz w:val="30"/>
          <w:szCs w:val="30"/>
        </w:rPr>
        <w:t>开放医师资格实践技能考试项目线上训练课程，总点击率</w:t>
      </w:r>
      <w:r>
        <w:rPr>
          <w:rFonts w:hint="eastAsia" w:ascii="宋体" w:hAnsi="宋体" w:cs="宋体"/>
          <w:sz w:val="30"/>
          <w:szCs w:val="30"/>
          <w:lang w:val="en-US" w:eastAsia="zh-CN"/>
        </w:rPr>
        <w:t>4823</w:t>
      </w:r>
      <w:r>
        <w:rPr>
          <w:rFonts w:hint="eastAsia" w:ascii="宋体" w:hAnsi="宋体" w:cs="宋体"/>
          <w:sz w:val="30"/>
          <w:szCs w:val="30"/>
        </w:rPr>
        <w:t>人次，总频率</w:t>
      </w:r>
      <w:r>
        <w:rPr>
          <w:rFonts w:hint="eastAsia" w:ascii="宋体" w:hAnsi="宋体" w:cs="宋体"/>
          <w:sz w:val="30"/>
          <w:szCs w:val="30"/>
          <w:lang w:val="en-US" w:eastAsia="zh-CN"/>
        </w:rPr>
        <w:t>40.19</w:t>
      </w:r>
      <w:r>
        <w:rPr>
          <w:rFonts w:hint="eastAsia" w:ascii="宋体" w:hAnsi="宋体" w:cs="宋体"/>
          <w:sz w:val="30"/>
          <w:szCs w:val="30"/>
        </w:rPr>
        <w:t>次</w:t>
      </w:r>
      <w:r>
        <w:rPr>
          <w:rFonts w:hint="eastAsia" w:ascii="宋体" w:hAnsi="宋体" w:eastAsia="宋体" w:cs="宋体"/>
          <w:sz w:val="30"/>
          <w:szCs w:val="30"/>
        </w:rPr>
        <w:t>/</w:t>
      </w:r>
      <w:r>
        <w:rPr>
          <w:rFonts w:hint="eastAsia" w:ascii="宋体" w:hAnsi="宋体" w:cs="宋体"/>
          <w:sz w:val="30"/>
          <w:szCs w:val="30"/>
        </w:rPr>
        <w:t>天，有助于提升医学生医师资格实践技能考试的通过率。</w:t>
      </w:r>
      <w:r>
        <w:rPr>
          <w:rFonts w:hint="eastAsia" w:ascii="宋体" w:hAnsi="宋体" w:cs="宋体"/>
          <w:kern w:val="0"/>
          <w:sz w:val="28"/>
          <w:szCs w:val="28"/>
        </w:rPr>
        <w:t>中心主编的教学质量标准：《临床技能课教程》、课程质量标准、教学大纲、实验指导等，教学辅助参考资料：病例书写规范、英语常用医学词汇、OSCE和PBL教学课件、大学生临床技能竞赛范围摘录、临床技能学习速查手册、教学视频等教学资源已在网上共享，并不断更新完善发布信息，有力推动了学生的自主学习。</w:t>
      </w:r>
      <w:r>
        <w:rPr>
          <w:rFonts w:hint="eastAsia" w:ascii="宋体" w:hAnsi="宋体"/>
          <w:sz w:val="28"/>
          <w:szCs w:val="28"/>
        </w:rPr>
        <w:t>利用开放实验室查询系统，可以方便的查询实验中心设备分布情况、实验室使用情况，学生和教师能更好地安排实验教学内容。</w:t>
      </w:r>
    </w:p>
    <w:p>
      <w:pPr>
        <w:widowControl/>
        <w:adjustRightInd w:val="0"/>
        <w:snapToGrid w:val="0"/>
        <w:spacing w:line="360" w:lineRule="auto"/>
        <w:ind w:firstLine="562" w:firstLineChars="200"/>
        <w:rPr>
          <w:rFonts w:ascii="楷体" w:hAnsi="楷体" w:eastAsia="楷体" w:cs="仿宋_GB2312"/>
          <w:sz w:val="28"/>
          <w:szCs w:val="28"/>
        </w:rPr>
      </w:pPr>
      <w:r>
        <w:rPr>
          <w:rFonts w:hint="eastAsia" w:ascii="宋体" w:hAnsi="宋体" w:cs="宋体"/>
          <w:b/>
          <w:kern w:val="0"/>
          <w:sz w:val="28"/>
          <w:szCs w:val="28"/>
        </w:rPr>
        <w:t>提升人员信息化能力。</w:t>
      </w:r>
      <w:r>
        <w:rPr>
          <w:rFonts w:hint="eastAsia" w:ascii="宋体" w:hAnsi="宋体" w:cs="宋体"/>
          <w:bCs/>
          <w:kern w:val="0"/>
          <w:sz w:val="28"/>
          <w:szCs w:val="28"/>
        </w:rPr>
        <w:t>今年中心加大教师队伍信息化培训管理力度，集中开设两期培训班对中心高端模拟人网络课程开发、“临床思维测评系统”、中心网站管理维护及临床技能中心课程微信平台进行系统培训，安排相关培训后考核，中心全体教师信息化能力进一步提升。</w:t>
      </w:r>
    </w:p>
    <w:p>
      <w:pPr>
        <w:spacing w:line="360" w:lineRule="auto"/>
        <w:ind w:left="480" w:leftChars="200"/>
        <w:rPr>
          <w:rFonts w:ascii="楷体" w:hAnsi="楷体" w:eastAsia="楷体" w:cs="仿宋_GB2312"/>
          <w:sz w:val="28"/>
          <w:szCs w:val="28"/>
        </w:rPr>
      </w:pPr>
      <w:r>
        <w:rPr>
          <w:rFonts w:hint="eastAsia" w:ascii="楷体" w:hAnsi="楷体" w:eastAsia="楷体" w:cs="仿宋_GB2312"/>
          <w:sz w:val="28"/>
          <w:szCs w:val="28"/>
        </w:rPr>
        <w:t>（二）开放运行、安全运行等情况。</w:t>
      </w:r>
    </w:p>
    <w:p>
      <w:pPr>
        <w:widowControl/>
        <w:adjustRightInd w:val="0"/>
        <w:snapToGrid w:val="0"/>
        <w:spacing w:line="360" w:lineRule="auto"/>
        <w:ind w:firstLine="562" w:firstLineChars="200"/>
        <w:rPr>
          <w:rFonts w:hint="default" w:ascii="宋体" w:hAnsi="宋体" w:eastAsiaTheme="minorEastAsia"/>
          <w:sz w:val="28"/>
          <w:szCs w:val="28"/>
          <w:lang w:val="en-US" w:eastAsia="zh-CN"/>
        </w:rPr>
      </w:pPr>
      <w:r>
        <w:rPr>
          <w:rFonts w:hint="eastAsia" w:ascii="宋体" w:hAnsi="宋体"/>
          <w:b/>
          <w:sz w:val="28"/>
          <w:szCs w:val="28"/>
        </w:rPr>
        <w:t>开放运行良好。</w:t>
      </w:r>
      <w:r>
        <w:rPr>
          <w:rFonts w:hint="eastAsia" w:ascii="宋体" w:hAnsi="宋体"/>
          <w:sz w:val="28"/>
          <w:szCs w:val="28"/>
        </w:rPr>
        <w:t>为</w:t>
      </w:r>
      <w:r>
        <w:rPr>
          <w:rFonts w:hint="eastAsia" w:ascii="宋体" w:hAnsi="宋体"/>
          <w:color w:val="000000"/>
          <w:kern w:val="0"/>
          <w:sz w:val="28"/>
          <w:szCs w:val="28"/>
        </w:rPr>
        <w:t>充分发挥国家级实验教学示范中心的资源优势，提高实验室仪器设备的使用效率，促进临床技能实验教学改革，加快培养有创新精神和实践能力的卓越人才，</w:t>
      </w:r>
      <w:r>
        <w:rPr>
          <w:rFonts w:hint="eastAsia" w:ascii="宋体" w:hAnsi="宋体"/>
          <w:sz w:val="28"/>
          <w:szCs w:val="28"/>
        </w:rPr>
        <w:t>中心制定了《实验室开放管理规定》，</w:t>
      </w:r>
      <w:r>
        <w:rPr>
          <w:rFonts w:hint="eastAsia"/>
          <w:sz w:val="28"/>
          <w:szCs w:val="28"/>
        </w:rPr>
        <w:t>健全完善了实验室开放共享管理体制和运行机制，</w:t>
      </w:r>
      <w:r>
        <w:rPr>
          <w:rFonts w:hint="eastAsia" w:ascii="宋体" w:hAnsi="宋体"/>
          <w:sz w:val="28"/>
          <w:szCs w:val="28"/>
        </w:rPr>
        <w:t>不断推进实验室向本科生开放，在网站公布实验室开放项目和预约通知，规范和加强实验室对本科生的开放和管理。</w:t>
      </w:r>
      <w:r>
        <w:rPr>
          <w:rFonts w:hint="eastAsia" w:ascii="宋体" w:hAnsi="宋体"/>
          <w:sz w:val="28"/>
          <w:szCs w:val="28"/>
          <w:lang w:val="en-US" w:eastAsia="zh-CN"/>
        </w:rPr>
        <w:t>2020年，中心面向</w:t>
      </w:r>
      <w:r>
        <w:rPr>
          <w:rFonts w:hint="eastAsia" w:ascii="宋体" w:hAnsi="宋体" w:cs="宋体"/>
          <w:sz w:val="28"/>
          <w:szCs w:val="28"/>
        </w:rPr>
        <w:t>201</w:t>
      </w:r>
      <w:r>
        <w:rPr>
          <w:rFonts w:hint="eastAsia" w:ascii="宋体" w:hAnsi="宋体" w:cs="宋体"/>
          <w:sz w:val="28"/>
          <w:szCs w:val="28"/>
          <w:lang w:val="en-US" w:eastAsia="zh-CN"/>
        </w:rPr>
        <w:t>7</w:t>
      </w:r>
      <w:r>
        <w:rPr>
          <w:rFonts w:hint="eastAsia" w:ascii="宋体" w:hAnsi="宋体" w:cs="宋体"/>
          <w:sz w:val="28"/>
          <w:szCs w:val="28"/>
        </w:rPr>
        <w:t>级、201</w:t>
      </w:r>
      <w:r>
        <w:rPr>
          <w:rFonts w:hint="eastAsia" w:ascii="宋体" w:hAnsi="宋体" w:cs="宋体"/>
          <w:sz w:val="28"/>
          <w:szCs w:val="28"/>
          <w:lang w:val="en-US" w:eastAsia="zh-CN"/>
        </w:rPr>
        <w:t>8</w:t>
      </w:r>
      <w:r>
        <w:rPr>
          <w:rFonts w:hint="eastAsia" w:ascii="宋体" w:hAnsi="宋体" w:cs="宋体"/>
          <w:sz w:val="28"/>
          <w:szCs w:val="28"/>
        </w:rPr>
        <w:t>级、201</w:t>
      </w:r>
      <w:r>
        <w:rPr>
          <w:rFonts w:hint="eastAsia" w:ascii="宋体" w:hAnsi="宋体" w:cs="宋体"/>
          <w:sz w:val="28"/>
          <w:szCs w:val="28"/>
          <w:lang w:val="en-US" w:eastAsia="zh-CN"/>
        </w:rPr>
        <w:t>9</w:t>
      </w:r>
      <w:r>
        <w:rPr>
          <w:rFonts w:hint="eastAsia" w:ascii="宋体" w:hAnsi="宋体" w:cs="宋体"/>
          <w:sz w:val="28"/>
          <w:szCs w:val="28"/>
        </w:rPr>
        <w:t>级、和20</w:t>
      </w:r>
      <w:r>
        <w:rPr>
          <w:rFonts w:hint="eastAsia" w:ascii="宋体" w:hAnsi="宋体" w:cs="宋体"/>
          <w:sz w:val="28"/>
          <w:szCs w:val="28"/>
          <w:lang w:val="en-US" w:eastAsia="zh-CN"/>
        </w:rPr>
        <w:t>20</w:t>
      </w:r>
      <w:r>
        <w:rPr>
          <w:rFonts w:hint="eastAsia" w:ascii="宋体" w:hAnsi="宋体" w:cs="宋体"/>
          <w:sz w:val="28"/>
          <w:szCs w:val="28"/>
        </w:rPr>
        <w:t>级</w:t>
      </w:r>
      <w:r>
        <w:rPr>
          <w:rFonts w:hint="eastAsia" w:ascii="宋体" w:hAnsi="宋体" w:cs="宋体"/>
          <w:sz w:val="28"/>
          <w:szCs w:val="28"/>
          <w:lang w:eastAsia="zh-CN"/>
        </w:rPr>
        <w:t>四</w:t>
      </w:r>
      <w:r>
        <w:rPr>
          <w:rFonts w:hint="eastAsia" w:ascii="宋体" w:hAnsi="宋体" w:cs="宋体"/>
          <w:sz w:val="28"/>
          <w:szCs w:val="28"/>
        </w:rPr>
        <w:t>个年级的临床医学（包括创新班、法语班、全科医学方向）、预防医学、麻醉学、医学影像学、医学影像技术、医学眼视光等12个医学及其相关专业</w:t>
      </w:r>
      <w:r>
        <w:rPr>
          <w:rFonts w:hint="eastAsia" w:ascii="宋体" w:hAnsi="宋体" w:cs="宋体"/>
          <w:sz w:val="28"/>
          <w:szCs w:val="28"/>
          <w:lang w:eastAsia="zh-CN"/>
        </w:rPr>
        <w:t>学生开放，年开放人数达</w:t>
      </w:r>
      <w:r>
        <w:rPr>
          <w:rFonts w:hint="eastAsia" w:ascii="宋体" w:hAnsi="宋体" w:cs="宋体"/>
          <w:sz w:val="28"/>
          <w:szCs w:val="28"/>
          <w:lang w:val="en-US" w:eastAsia="zh-CN"/>
        </w:rPr>
        <w:t>7710人。</w:t>
      </w:r>
    </w:p>
    <w:p>
      <w:pPr>
        <w:pStyle w:val="5"/>
        <w:adjustRightInd w:val="0"/>
        <w:snapToGrid w:val="0"/>
        <w:spacing w:before="0" w:beforeAutospacing="0" w:after="0" w:afterAutospacing="0" w:line="360" w:lineRule="auto"/>
        <w:ind w:firstLine="562" w:firstLineChars="200"/>
        <w:jc w:val="both"/>
        <w:rPr>
          <w:rFonts w:ascii="楷体" w:hAnsi="楷体" w:eastAsia="楷体" w:cs="仿宋_GB2312"/>
          <w:sz w:val="28"/>
          <w:szCs w:val="28"/>
        </w:rPr>
      </w:pPr>
      <w:r>
        <w:rPr>
          <w:rFonts w:hint="eastAsia"/>
          <w:b/>
          <w:sz w:val="28"/>
          <w:szCs w:val="28"/>
        </w:rPr>
        <w:t>规范管理</w:t>
      </w:r>
      <w:r>
        <w:rPr>
          <w:rFonts w:cs="Times New Roman"/>
          <w:b/>
          <w:color w:val="000000"/>
          <w:sz w:val="28"/>
          <w:szCs w:val="28"/>
        </w:rPr>
        <w:t>安全</w:t>
      </w:r>
      <w:r>
        <w:rPr>
          <w:rFonts w:hint="eastAsia" w:cs="Times New Roman"/>
          <w:b/>
          <w:color w:val="000000"/>
          <w:sz w:val="28"/>
          <w:szCs w:val="28"/>
        </w:rPr>
        <w:t>运行</w:t>
      </w:r>
      <w:r>
        <w:rPr>
          <w:rFonts w:hint="eastAsia"/>
          <w:sz w:val="28"/>
          <w:szCs w:val="28"/>
        </w:rPr>
        <w:t>。</w:t>
      </w:r>
      <w:r>
        <w:rPr>
          <w:rFonts w:hint="eastAsia" w:cs="FangSong_GB2312-Identity-H"/>
          <w:sz w:val="28"/>
          <w:szCs w:val="28"/>
        </w:rPr>
        <w:t>严格执行国家安全标准，消防器材设施齐备完好，应急设施和措施完备，存放贵重仪器实验室安装铁门护窗和监控系统，</w:t>
      </w:r>
      <w:r>
        <w:rPr>
          <w:rFonts w:hint="eastAsia"/>
          <w:sz w:val="28"/>
          <w:szCs w:val="28"/>
        </w:rPr>
        <w:t>实验室和公共区域都张贴了相应的实验安全标识。健全安全管理制度，</w:t>
      </w:r>
      <w:r>
        <w:rPr>
          <w:rFonts w:hint="eastAsia" w:cs="FangSong_GB2312-Identity-H"/>
          <w:sz w:val="28"/>
          <w:szCs w:val="28"/>
        </w:rPr>
        <w:t>认真开展广泛的师生安全教育，</w:t>
      </w:r>
      <w:r>
        <w:rPr>
          <w:rFonts w:hint="eastAsia"/>
          <w:sz w:val="28"/>
          <w:szCs w:val="28"/>
        </w:rPr>
        <w:t>常规对师生进行安全教育培训，提高师生的安全防护意识；</w:t>
      </w:r>
      <w:r>
        <w:rPr>
          <w:rFonts w:hint="eastAsia" w:cs="FangSong_GB2312-Identity-H"/>
          <w:sz w:val="28"/>
          <w:szCs w:val="28"/>
        </w:rPr>
        <w:t>定期检查和不定期抽查，消除安全隐患。严格执行国家环保标准，</w:t>
      </w:r>
      <w:r>
        <w:rPr>
          <w:rFonts w:hint="eastAsia"/>
          <w:sz w:val="28"/>
          <w:szCs w:val="28"/>
        </w:rPr>
        <w:t>认真贯彻实验室安全和环保规定。严格执行根据学校的相关规定和要求，进一步完善了各项规章制度</w:t>
      </w:r>
      <w:r>
        <w:rPr>
          <w:rFonts w:hint="eastAsia" w:cs="FangSong_GB2312-Identity-H"/>
          <w:sz w:val="28"/>
          <w:szCs w:val="28"/>
        </w:rPr>
        <w:t>，严格有毒、易燃、易爆等物品的管理和使用，建立健全了操作规程，并采取有效防护措施。严格执行国家有关医疗耗材质量标准，按规定使用实验试剂、教学模型和耗材；</w:t>
      </w:r>
      <w:r>
        <w:rPr>
          <w:rFonts w:hint="eastAsia"/>
          <w:sz w:val="28"/>
          <w:szCs w:val="28"/>
        </w:rPr>
        <w:t>实验室易燃、有毒、麻醉药品由专人保管，麻醉药品存入专用保险柜，有领用、使用和存量登记记录。实验动物指定专人领回、统一处理，无废液、有毒液体的排放。加强对教师和学生的实验安全教育和实验室安全环境的建设，</w:t>
      </w:r>
      <w:r>
        <w:rPr>
          <w:rFonts w:hint="eastAsia" w:cs="FangSong_GB2312-Identity-H"/>
          <w:sz w:val="28"/>
          <w:szCs w:val="28"/>
        </w:rPr>
        <w:t>教师和</w:t>
      </w:r>
      <w:r>
        <w:rPr>
          <w:rFonts w:hint="eastAsia"/>
          <w:sz w:val="28"/>
          <w:szCs w:val="28"/>
        </w:rPr>
        <w:t>学生手则，材料、低值耐用品和医用耗材管理办法等均张贴上墙。</w:t>
      </w:r>
    </w:p>
    <w:p>
      <w:pPr>
        <w:numPr>
          <w:ilvl w:val="0"/>
          <w:numId w:val="2"/>
        </w:numPr>
        <w:spacing w:line="360" w:lineRule="auto"/>
        <w:ind w:firstLine="560" w:firstLineChars="200"/>
        <w:rPr>
          <w:rFonts w:ascii="楷体" w:hAnsi="楷体" w:eastAsia="楷体" w:cs="仿宋_GB2312"/>
          <w:sz w:val="28"/>
          <w:szCs w:val="28"/>
        </w:rPr>
      </w:pPr>
      <w:r>
        <w:rPr>
          <w:rFonts w:hint="eastAsia" w:ascii="楷体" w:hAnsi="楷体" w:eastAsia="楷体" w:cs="仿宋_GB2312"/>
          <w:sz w:val="28"/>
          <w:szCs w:val="28"/>
        </w:rPr>
        <w:t>对外交流合作、发挥示范引领、支持中西部高校实验教学改革等情况。</w:t>
      </w:r>
    </w:p>
    <w:p>
      <w:pPr>
        <w:adjustRightInd w:val="0"/>
        <w:snapToGrid w:val="0"/>
        <w:spacing w:line="360" w:lineRule="auto"/>
        <w:ind w:firstLine="560" w:firstLineChars="200"/>
        <w:rPr>
          <w:rFonts w:ascii="宋体" w:hAnsi="宋体"/>
          <w:sz w:val="28"/>
          <w:szCs w:val="28"/>
        </w:rPr>
      </w:pPr>
      <w:r>
        <w:rPr>
          <w:rFonts w:hint="eastAsia" w:ascii="宋体" w:hAnsi="宋体"/>
          <w:sz w:val="28"/>
          <w:szCs w:val="28"/>
        </w:rPr>
        <w:t>中心现已经发展成为学生受益面大、创新性强、辐射面广、示范程度高的实验教学中心，取得了显著的成效，不仅获得师生、同行的好评，并得到了教育部、省教育厅有关领导的关注，同时也获得了兄弟院校的好评。</w:t>
      </w:r>
    </w:p>
    <w:p>
      <w:pPr>
        <w:adjustRightInd w:val="0"/>
        <w:snapToGrid w:val="0"/>
        <w:spacing w:line="360" w:lineRule="auto"/>
        <w:ind w:firstLine="562" w:firstLineChars="200"/>
        <w:rPr>
          <w:rFonts w:ascii="宋体" w:hAnsi="宋体"/>
          <w:sz w:val="28"/>
          <w:szCs w:val="28"/>
        </w:rPr>
      </w:pPr>
      <w:r>
        <w:rPr>
          <w:rFonts w:hint="eastAsia" w:ascii="宋体" w:hAnsi="宋体"/>
          <w:b/>
          <w:sz w:val="28"/>
          <w:szCs w:val="28"/>
        </w:rPr>
        <w:t>1.</w:t>
      </w:r>
      <w:r>
        <w:rPr>
          <w:rFonts w:hint="eastAsia"/>
          <w:b/>
          <w:sz w:val="28"/>
          <w:szCs w:val="28"/>
        </w:rPr>
        <w:t>对外交流合作广泛</w:t>
      </w:r>
      <w:r>
        <w:rPr>
          <w:rFonts w:hint="eastAsia" w:ascii="宋体" w:hAnsi="宋体"/>
          <w:b/>
          <w:color w:val="000000"/>
          <w:sz w:val="28"/>
          <w:szCs w:val="28"/>
        </w:rPr>
        <w:t>。</w:t>
      </w:r>
      <w:r>
        <w:rPr>
          <w:rFonts w:hint="eastAsia" w:ascii="宋体" w:hAnsi="宋体"/>
          <w:sz w:val="28"/>
          <w:szCs w:val="28"/>
        </w:rPr>
        <w:t>20</w:t>
      </w:r>
      <w:r>
        <w:rPr>
          <w:rFonts w:hint="eastAsia" w:ascii="宋体" w:hAnsi="宋体"/>
          <w:sz w:val="28"/>
          <w:szCs w:val="28"/>
          <w:lang w:val="en-US" w:eastAsia="zh-CN"/>
        </w:rPr>
        <w:t>20</w:t>
      </w:r>
      <w:r>
        <w:rPr>
          <w:rFonts w:hint="eastAsia" w:ascii="宋体" w:hAnsi="宋体"/>
          <w:sz w:val="28"/>
          <w:szCs w:val="28"/>
        </w:rPr>
        <w:t>年，中心接待包括</w:t>
      </w:r>
      <w:r>
        <w:rPr>
          <w:rFonts w:hint="eastAsia" w:ascii="宋体" w:hAnsi="宋体"/>
          <w:sz w:val="28"/>
          <w:szCs w:val="28"/>
          <w:lang w:eastAsia="zh-CN"/>
        </w:rPr>
        <w:t>孟加拉红新月会代表团</w:t>
      </w:r>
      <w:r>
        <w:rPr>
          <w:rFonts w:hint="eastAsia" w:ascii="宋体" w:hAnsi="宋体"/>
          <w:sz w:val="28"/>
          <w:szCs w:val="28"/>
        </w:rPr>
        <w:t>、</w:t>
      </w:r>
      <w:r>
        <w:rPr>
          <w:rFonts w:hint="eastAsia" w:ascii="宋体" w:hAnsi="宋体"/>
          <w:sz w:val="28"/>
          <w:szCs w:val="28"/>
          <w:lang w:eastAsia="zh-CN"/>
        </w:rPr>
        <w:t>加拿大驻重庆总领事馆代表团、青海省副秘书长一行、广西壮族自治区教育厅云南交流代表团等</w:t>
      </w:r>
      <w:r>
        <w:rPr>
          <w:rFonts w:hint="eastAsia" w:ascii="宋体" w:hAnsi="宋体"/>
          <w:sz w:val="28"/>
          <w:szCs w:val="28"/>
        </w:rPr>
        <w:t>共计1</w:t>
      </w:r>
      <w:r>
        <w:rPr>
          <w:rFonts w:hint="eastAsia" w:ascii="宋体" w:hAnsi="宋体"/>
          <w:sz w:val="28"/>
          <w:szCs w:val="28"/>
          <w:lang w:val="en-US" w:eastAsia="zh-CN"/>
        </w:rPr>
        <w:t>3</w:t>
      </w:r>
      <w:r>
        <w:rPr>
          <w:rFonts w:hint="eastAsia" w:ascii="宋体" w:hAnsi="宋体" w:cs="仿宋"/>
          <w:kern w:val="0"/>
          <w:sz w:val="28"/>
          <w:szCs w:val="28"/>
        </w:rPr>
        <w:t>场次，参观人员达</w:t>
      </w:r>
      <w:r>
        <w:rPr>
          <w:rFonts w:hint="eastAsia" w:ascii="宋体" w:hAnsi="宋体" w:cs="仿宋"/>
          <w:kern w:val="0"/>
          <w:sz w:val="28"/>
          <w:szCs w:val="28"/>
          <w:lang w:val="en-US" w:eastAsia="zh-CN"/>
        </w:rPr>
        <w:t>260</w:t>
      </w:r>
      <w:r>
        <w:rPr>
          <w:rFonts w:hint="eastAsia" w:ascii="宋体" w:hAnsi="宋体" w:cs="仿宋"/>
          <w:kern w:val="0"/>
          <w:sz w:val="28"/>
          <w:szCs w:val="28"/>
        </w:rPr>
        <w:t>余人次</w:t>
      </w:r>
      <w:r>
        <w:rPr>
          <w:rFonts w:hint="eastAsia" w:ascii="宋体" w:hAnsi="宋体"/>
          <w:sz w:val="28"/>
          <w:szCs w:val="28"/>
        </w:rPr>
        <w:t>。</w:t>
      </w:r>
    </w:p>
    <w:p>
      <w:pPr>
        <w:adjustRightInd w:val="0"/>
        <w:snapToGrid w:val="0"/>
        <w:spacing w:line="360" w:lineRule="auto"/>
        <w:ind w:firstLine="555"/>
        <w:jc w:val="center"/>
        <w:rPr>
          <w:rFonts w:ascii="宋体" w:hAnsi="宋体"/>
          <w:b/>
          <w:sz w:val="28"/>
          <w:szCs w:val="28"/>
        </w:rPr>
      </w:pPr>
      <w:r>
        <w:rPr>
          <w:rFonts w:hint="eastAsia" w:ascii="宋体" w:hAnsi="宋体"/>
          <w:b/>
          <w:sz w:val="28"/>
          <w:szCs w:val="28"/>
        </w:rPr>
        <w:t>20</w:t>
      </w:r>
      <w:r>
        <w:rPr>
          <w:rFonts w:hint="eastAsia" w:ascii="宋体" w:hAnsi="宋体"/>
          <w:b/>
          <w:sz w:val="28"/>
          <w:szCs w:val="28"/>
          <w:lang w:val="en-US" w:eastAsia="zh-CN"/>
        </w:rPr>
        <w:t>20</w:t>
      </w:r>
      <w:r>
        <w:rPr>
          <w:rFonts w:hint="eastAsia" w:ascii="宋体" w:hAnsi="宋体"/>
          <w:b/>
          <w:sz w:val="28"/>
          <w:szCs w:val="28"/>
        </w:rPr>
        <w:t>年中心接待来访参观一览表</w:t>
      </w:r>
    </w:p>
    <w:tbl>
      <w:tblPr>
        <w:tblStyle w:val="7"/>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89"/>
        <w:gridCol w:w="68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sz w:val="28"/>
                <w:szCs w:val="28"/>
              </w:rPr>
            </w:pPr>
            <w:r>
              <w:rPr>
                <w:rFonts w:hint="eastAsia" w:ascii="宋体" w:hAnsi="宋体"/>
                <w:b/>
                <w:sz w:val="28"/>
                <w:szCs w:val="28"/>
              </w:rPr>
              <w:t>来访时间</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ascii="宋体" w:hAnsi="宋体"/>
                <w:b/>
                <w:sz w:val="28"/>
                <w:szCs w:val="28"/>
              </w:rPr>
            </w:pPr>
            <w:r>
              <w:rPr>
                <w:rFonts w:hint="eastAsia" w:ascii="宋体" w:hAnsi="宋体"/>
                <w:b/>
                <w:sz w:val="28"/>
                <w:szCs w:val="28"/>
              </w:rPr>
              <w:t>参观人员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2020.1.7</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cstheme="minorEastAsia"/>
              </w:rPr>
            </w:pPr>
            <w:r>
              <w:rPr>
                <w:rFonts w:hint="eastAsia" w:asciiTheme="minorEastAsia" w:hAnsiTheme="minorEastAsia" w:cstheme="minorEastAsia"/>
              </w:rPr>
              <w:t>孟加拉国红新月会主席一行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.4.</w:t>
            </w:r>
            <w:r>
              <w:rPr>
                <w:rFonts w:hint="eastAsia" w:asciiTheme="minorEastAsia" w:hAnsiTheme="minorEastAsia" w:cstheme="minorEastAsia"/>
                <w:lang w:val="en-US" w:eastAsia="zh-CN"/>
              </w:rPr>
              <w:t>15</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附属心血管病医院领导一行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.4.</w:t>
            </w:r>
            <w:r>
              <w:rPr>
                <w:rFonts w:hint="eastAsia" w:asciiTheme="minorEastAsia" w:hAnsiTheme="minorEastAsia" w:cstheme="minorEastAsia"/>
                <w:lang w:val="en-US" w:eastAsia="zh-CN"/>
              </w:rPr>
              <w:t>26</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玉溪市人民医院领导一行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w:t>
            </w:r>
            <w:r>
              <w:rPr>
                <w:rFonts w:hint="eastAsia" w:asciiTheme="minorEastAsia" w:hAnsiTheme="minorEastAsia" w:cstheme="minorEastAsia"/>
                <w:lang w:val="en-US" w:eastAsia="zh-CN"/>
              </w:rPr>
              <w:t>4</w:t>
            </w:r>
            <w:r>
              <w:rPr>
                <w:rFonts w:hint="eastAsia" w:asciiTheme="minorEastAsia" w:hAnsiTheme="minorEastAsia" w:cstheme="minorEastAsia"/>
              </w:rPr>
              <w:t>.</w:t>
            </w:r>
            <w:r>
              <w:rPr>
                <w:rFonts w:hint="eastAsia" w:asciiTheme="minorEastAsia" w:hAnsiTheme="minorEastAsia" w:cstheme="minorEastAsia"/>
                <w:lang w:val="en-US" w:eastAsia="zh-CN"/>
              </w:rPr>
              <w:t>28</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云南省医保办领导一行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Theme="minorEastAsia" w:hAnsiTheme="minorEastAsia" w:eastAsiaTheme="minorEastAsia" w:cstheme="minorEastAsia"/>
                <w:lang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w:t>
            </w:r>
            <w:r>
              <w:rPr>
                <w:rFonts w:hint="eastAsia" w:asciiTheme="minorEastAsia" w:hAnsiTheme="minorEastAsia" w:cstheme="minorEastAsia"/>
                <w:lang w:val="en-US" w:eastAsia="zh-CN"/>
              </w:rPr>
              <w:t>7</w:t>
            </w:r>
            <w:r>
              <w:rPr>
                <w:rFonts w:hint="eastAsia" w:asciiTheme="minorEastAsia" w:hAnsiTheme="minorEastAsia" w:cstheme="minorEastAsia"/>
              </w:rPr>
              <w:t>.1</w:t>
            </w:r>
            <w:r>
              <w:rPr>
                <w:rFonts w:hint="eastAsia" w:asciiTheme="minorEastAsia" w:hAnsiTheme="minorEastAsia" w:cstheme="minorEastAsia"/>
                <w:lang w:val="en-US" w:eastAsia="zh-CN"/>
              </w:rPr>
              <w:t>0</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云南省卫健委领导一行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rPr>
              <w:t>201</w:t>
            </w:r>
            <w:r>
              <w:rPr>
                <w:rFonts w:hint="eastAsia" w:asciiTheme="minorEastAsia" w:hAnsiTheme="minorEastAsia" w:cstheme="minorEastAsia"/>
                <w:lang w:val="en-US" w:eastAsia="zh-CN"/>
              </w:rPr>
              <w:t>20</w:t>
            </w:r>
            <w:r>
              <w:rPr>
                <w:rFonts w:hint="eastAsia" w:asciiTheme="minorEastAsia" w:hAnsiTheme="minorEastAsia" w:cstheme="minorEastAsia"/>
              </w:rPr>
              <w:t>.</w:t>
            </w:r>
            <w:r>
              <w:rPr>
                <w:rFonts w:hint="eastAsia" w:asciiTheme="minorEastAsia" w:hAnsiTheme="minorEastAsia" w:cstheme="minorEastAsia"/>
                <w:lang w:val="en-US" w:eastAsia="zh-CN"/>
              </w:rPr>
              <w:t>7</w:t>
            </w:r>
            <w:r>
              <w:rPr>
                <w:rFonts w:hint="eastAsia" w:asciiTheme="minorEastAsia" w:hAnsiTheme="minorEastAsia" w:cstheme="minorEastAsia"/>
              </w:rPr>
              <w:t>.</w:t>
            </w:r>
            <w:r>
              <w:rPr>
                <w:rFonts w:hint="eastAsia" w:asciiTheme="minorEastAsia" w:hAnsiTheme="minorEastAsia" w:cstheme="minorEastAsia"/>
                <w:lang w:val="en-US" w:eastAsia="zh-CN"/>
              </w:rPr>
              <w:t>31</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农工党云南省委、云南省红十字会副会长一行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9.</w:t>
            </w:r>
            <w:r>
              <w:rPr>
                <w:rFonts w:hint="eastAsia" w:asciiTheme="minorEastAsia" w:hAnsiTheme="minorEastAsia" w:cstheme="minorEastAsia"/>
                <w:lang w:val="en-US" w:eastAsia="zh-CN"/>
              </w:rPr>
              <w:t>14</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加拿大驻重庆总领事管戴杰豪先生一行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Theme="minorEastAsia" w:hAnsiTheme="minorEastAsia" w:eastAsiaTheme="minorEastAsia" w:cstheme="minorEastAsia"/>
                <w:lang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w:t>
            </w:r>
            <w:r>
              <w:rPr>
                <w:rFonts w:hint="eastAsia" w:asciiTheme="minorEastAsia" w:hAnsiTheme="minorEastAsia" w:cstheme="minorEastAsia"/>
                <w:lang w:val="en-US" w:eastAsia="zh-CN"/>
              </w:rPr>
              <w:t>10</w:t>
            </w:r>
            <w:r>
              <w:rPr>
                <w:rFonts w:hint="eastAsia" w:asciiTheme="minorEastAsia" w:hAnsiTheme="minorEastAsia" w:cstheme="minorEastAsia"/>
              </w:rPr>
              <w:t>.2</w:t>
            </w:r>
            <w:r>
              <w:rPr>
                <w:rFonts w:hint="eastAsia" w:asciiTheme="minorEastAsia" w:hAnsiTheme="minorEastAsia" w:cstheme="minorEastAsia"/>
                <w:lang w:val="en-US" w:eastAsia="zh-CN"/>
              </w:rPr>
              <w:t>2</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教育厅领导一行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Theme="minorEastAsia" w:hAnsiTheme="minorEastAsia" w:eastAsiaTheme="minorEastAsia" w:cstheme="minorEastAsia"/>
                <w:lang w:val="en-US"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w:t>
            </w:r>
            <w:r>
              <w:rPr>
                <w:rFonts w:hint="eastAsia" w:asciiTheme="minorEastAsia" w:hAnsiTheme="minorEastAsia" w:cstheme="minorEastAsia"/>
                <w:lang w:val="en-US" w:eastAsia="zh-CN"/>
              </w:rPr>
              <w:t>11</w:t>
            </w:r>
            <w:r>
              <w:rPr>
                <w:rFonts w:hint="eastAsia" w:asciiTheme="minorEastAsia" w:hAnsiTheme="minorEastAsia" w:cstheme="minorEastAsia"/>
              </w:rPr>
              <w:t>.</w:t>
            </w:r>
            <w:r>
              <w:rPr>
                <w:rFonts w:hint="eastAsia" w:asciiTheme="minorEastAsia" w:hAnsiTheme="minorEastAsia" w:cstheme="minorEastAsia"/>
                <w:lang w:val="en-US" w:eastAsia="zh-CN"/>
              </w:rPr>
              <w:t>3</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腾冲市人民医院领导一行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Theme="minorEastAsia" w:hAnsiTheme="minorEastAsia" w:eastAsiaTheme="minorEastAsia" w:cstheme="minorEastAsia"/>
                <w:lang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.1</w:t>
            </w:r>
            <w:r>
              <w:rPr>
                <w:rFonts w:hint="eastAsia" w:asciiTheme="minorEastAsia" w:hAnsiTheme="minorEastAsia" w:cstheme="minorEastAsia"/>
                <w:lang w:val="en-US" w:eastAsia="zh-CN"/>
              </w:rPr>
              <w:t>1</w:t>
            </w:r>
            <w:r>
              <w:rPr>
                <w:rFonts w:hint="eastAsia" w:asciiTheme="minorEastAsia" w:hAnsiTheme="minorEastAsia" w:cstheme="minorEastAsia"/>
              </w:rPr>
              <w:t>.1</w:t>
            </w:r>
            <w:r>
              <w:rPr>
                <w:rFonts w:hint="eastAsia" w:asciiTheme="minorEastAsia" w:hAnsiTheme="minorEastAsia" w:cstheme="minorEastAsia"/>
                <w:lang w:val="en-US" w:eastAsia="zh-CN"/>
              </w:rPr>
              <w:t>2</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昆明市人民医院领导一行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asciiTheme="minorEastAsia" w:hAnsiTheme="minorEastAsia" w:cstheme="minorEastAsia"/>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.1</w:t>
            </w:r>
            <w:r>
              <w:rPr>
                <w:rFonts w:hint="eastAsia" w:asciiTheme="minorEastAsia" w:hAnsiTheme="minorEastAsia" w:cstheme="minorEastAsia"/>
                <w:lang w:val="en-US" w:eastAsia="zh-CN"/>
              </w:rPr>
              <w:t>2</w:t>
            </w:r>
            <w:r>
              <w:rPr>
                <w:rFonts w:hint="eastAsia" w:asciiTheme="minorEastAsia" w:hAnsiTheme="minorEastAsia" w:cstheme="minorEastAsia"/>
              </w:rPr>
              <w:t>.2</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广西壮族自治区教育厅云南省交流代表团一行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Theme="minorEastAsia" w:hAnsiTheme="minorEastAsia" w:eastAsiaTheme="minorEastAsia" w:cstheme="minorEastAsia"/>
                <w:lang w:eastAsia="zh-CN"/>
              </w:rPr>
            </w:pPr>
            <w:r>
              <w:rPr>
                <w:rFonts w:hint="eastAsia" w:asciiTheme="minorEastAsia" w:hAnsiTheme="minorEastAsia" w:cstheme="minorEastAsia"/>
              </w:rPr>
              <w:t>20</w:t>
            </w:r>
            <w:r>
              <w:rPr>
                <w:rFonts w:hint="eastAsia" w:asciiTheme="minorEastAsia" w:hAnsiTheme="minorEastAsia" w:cstheme="minorEastAsia"/>
                <w:lang w:val="en-US" w:eastAsia="zh-CN"/>
              </w:rPr>
              <w:t>20</w:t>
            </w:r>
            <w:r>
              <w:rPr>
                <w:rFonts w:hint="eastAsia" w:asciiTheme="minorEastAsia" w:hAnsiTheme="minorEastAsia" w:cstheme="minorEastAsia"/>
              </w:rPr>
              <w:t>.1</w:t>
            </w:r>
            <w:r>
              <w:rPr>
                <w:rFonts w:hint="eastAsia" w:asciiTheme="minorEastAsia" w:hAnsiTheme="minorEastAsia" w:cstheme="minorEastAsia"/>
                <w:lang w:val="en-US" w:eastAsia="zh-CN"/>
              </w:rPr>
              <w:t>2</w:t>
            </w:r>
            <w:r>
              <w:rPr>
                <w:rFonts w:hint="eastAsia" w:asciiTheme="minorEastAsia" w:hAnsiTheme="minorEastAsia" w:cstheme="minorEastAsia"/>
              </w:rPr>
              <w:t>.</w:t>
            </w:r>
            <w:r>
              <w:rPr>
                <w:rFonts w:hint="eastAsia" w:asciiTheme="minorEastAsia" w:hAnsiTheme="minorEastAsia" w:cstheme="minorEastAsia"/>
                <w:lang w:val="en-US" w:eastAsia="zh-CN"/>
              </w:rPr>
              <w:t>3</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cstheme="minorEastAsia"/>
              </w:rPr>
            </w:pPr>
            <w:r>
              <w:rPr>
                <w:rFonts w:hint="eastAsia" w:asciiTheme="minorEastAsia" w:hAnsiTheme="minorEastAsia" w:cstheme="minorEastAsia"/>
              </w:rPr>
              <w:t>昆明医学大学继续教育学院20</w:t>
            </w:r>
            <w:r>
              <w:rPr>
                <w:rFonts w:hint="eastAsia" w:asciiTheme="minorEastAsia" w:hAnsiTheme="minorEastAsia" w:cstheme="minorEastAsia"/>
                <w:lang w:val="en-US" w:eastAsia="zh-CN"/>
              </w:rPr>
              <w:t>20</w:t>
            </w:r>
            <w:r>
              <w:rPr>
                <w:rFonts w:hint="eastAsia" w:asciiTheme="minorEastAsia" w:hAnsiTheme="minorEastAsia" w:cstheme="minorEastAsia"/>
              </w:rPr>
              <w:t>年骨干教师一行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2020.12.4</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青海省副省长一行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2020.12.22</w:t>
            </w:r>
          </w:p>
        </w:tc>
        <w:tc>
          <w:tcPr>
            <w:tcW w:w="6833"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cstheme="minorEastAsia"/>
                <w:lang w:eastAsia="zh-CN"/>
              </w:rPr>
              <w:t>青海大学技能中心教师一行</w:t>
            </w:r>
          </w:p>
        </w:tc>
      </w:tr>
    </w:tbl>
    <w:p>
      <w:pPr>
        <w:pStyle w:val="5"/>
        <w:adjustRightInd w:val="0"/>
        <w:snapToGrid w:val="0"/>
        <w:spacing w:before="156" w:beforeAutospacing="0" w:after="0" w:afterAutospacing="0" w:line="360" w:lineRule="auto"/>
        <w:ind w:firstLine="562" w:firstLineChars="200"/>
        <w:jc w:val="both"/>
        <w:rPr>
          <w:b/>
          <w:sz w:val="28"/>
          <w:szCs w:val="28"/>
        </w:rPr>
      </w:pPr>
      <w:r>
        <w:rPr>
          <w:rFonts w:hint="eastAsia"/>
          <w:b/>
          <w:sz w:val="28"/>
          <w:szCs w:val="28"/>
        </w:rPr>
        <w:t>2.充分发挥示范引领、支持中西部高校实验教学改革的作用。</w:t>
      </w:r>
    </w:p>
    <w:p>
      <w:pPr>
        <w:adjustRightInd w:val="0"/>
        <w:snapToGrid w:val="0"/>
        <w:spacing w:line="360" w:lineRule="auto"/>
        <w:ind w:firstLine="560" w:firstLineChars="200"/>
        <w:rPr>
          <w:rFonts w:ascii="宋体" w:hAnsi="宋体"/>
          <w:sz w:val="28"/>
          <w:szCs w:val="28"/>
        </w:rPr>
      </w:pPr>
      <w:r>
        <w:rPr>
          <w:rFonts w:hint="eastAsia" w:ascii="宋体" w:hAnsi="宋体" w:cs="楷体"/>
          <w:sz w:val="28"/>
          <w:szCs w:val="28"/>
        </w:rPr>
        <w:t>连续1</w:t>
      </w:r>
      <w:r>
        <w:rPr>
          <w:rFonts w:hint="eastAsia" w:ascii="宋体" w:hAnsi="宋体" w:cs="楷体"/>
          <w:sz w:val="28"/>
          <w:szCs w:val="28"/>
          <w:lang w:val="en-US" w:eastAsia="zh-CN"/>
        </w:rPr>
        <w:t>2</w:t>
      </w:r>
      <w:r>
        <w:rPr>
          <w:rFonts w:hint="eastAsia" w:ascii="宋体" w:hAnsi="宋体" w:cs="楷体"/>
          <w:sz w:val="28"/>
          <w:szCs w:val="28"/>
        </w:rPr>
        <w:t>年圆满完成</w:t>
      </w:r>
      <w:r>
        <w:rPr>
          <w:rFonts w:hint="eastAsia" w:ascii="宋体" w:hAnsi="宋体" w:cs="仿宋"/>
          <w:bCs/>
          <w:sz w:val="28"/>
          <w:szCs w:val="28"/>
        </w:rPr>
        <w:t>国家医师资格实践技能考试工作，</w:t>
      </w:r>
      <w:r>
        <w:rPr>
          <w:rFonts w:hint="eastAsia" w:ascii="宋体" w:hAnsi="宋体" w:cs="仿宋"/>
          <w:bCs/>
          <w:sz w:val="28"/>
          <w:szCs w:val="28"/>
          <w:lang w:eastAsia="zh-CN"/>
        </w:rPr>
        <w:t>今年</w:t>
      </w:r>
      <w:r>
        <w:rPr>
          <w:rFonts w:hint="eastAsia" w:ascii="宋体" w:hAnsi="宋体" w:cs="仿宋"/>
          <w:bCs/>
          <w:sz w:val="28"/>
          <w:szCs w:val="28"/>
        </w:rPr>
        <w:t>执考人数</w:t>
      </w:r>
      <w:r>
        <w:rPr>
          <w:rFonts w:hint="eastAsia" w:ascii="宋体" w:hAnsi="宋体" w:cs="仿宋"/>
          <w:bCs/>
          <w:sz w:val="28"/>
          <w:szCs w:val="28"/>
          <w:lang w:eastAsia="zh-CN"/>
        </w:rPr>
        <w:t>创历史新高，达到</w:t>
      </w:r>
      <w:r>
        <w:rPr>
          <w:rFonts w:hint="eastAsia" w:ascii="宋体" w:hAnsi="宋体" w:cs="仿宋"/>
          <w:bCs/>
          <w:sz w:val="28"/>
          <w:szCs w:val="28"/>
          <w:lang w:val="en-US" w:eastAsia="zh-CN"/>
        </w:rPr>
        <w:t>5463人</w:t>
      </w:r>
      <w:r>
        <w:rPr>
          <w:rFonts w:hint="eastAsia" w:ascii="宋体" w:hAnsi="宋体" w:cs="仿宋"/>
          <w:bCs/>
          <w:sz w:val="28"/>
          <w:szCs w:val="28"/>
        </w:rPr>
        <w:t>。</w:t>
      </w:r>
      <w:r>
        <w:rPr>
          <w:rFonts w:hint="eastAsia" w:ascii="宋体" w:hAnsi="宋体" w:cs="宋体"/>
          <w:sz w:val="30"/>
          <w:szCs w:val="30"/>
        </w:rPr>
        <w:t>学校作为主任委员单位牵头</w:t>
      </w:r>
      <w:r>
        <w:rPr>
          <w:rFonts w:hint="eastAsia" w:ascii="宋体" w:hAnsi="宋体" w:eastAsia="宋体" w:cs="宋体"/>
          <w:sz w:val="30"/>
          <w:szCs w:val="30"/>
        </w:rPr>
        <w:t>成立云南省医师协会医学模拟教育分会，</w:t>
      </w:r>
      <w:r>
        <w:rPr>
          <w:rFonts w:hint="eastAsia" w:ascii="宋体" w:hAnsi="宋体" w:cs="宋体"/>
          <w:sz w:val="30"/>
          <w:szCs w:val="30"/>
        </w:rPr>
        <w:t>中心负责人连任</w:t>
      </w:r>
      <w:r>
        <w:rPr>
          <w:rFonts w:hint="eastAsia" w:ascii="宋体" w:hAnsi="宋体" w:eastAsia="宋体" w:cs="宋体"/>
          <w:sz w:val="30"/>
          <w:szCs w:val="30"/>
        </w:rPr>
        <w:t>中国医学模拟教学联盟理事</w:t>
      </w:r>
      <w:r>
        <w:rPr>
          <w:rFonts w:hint="eastAsia" w:ascii="宋体" w:hAnsi="宋体" w:cs="宋体"/>
          <w:sz w:val="30"/>
          <w:szCs w:val="30"/>
        </w:rPr>
        <w:t>。</w:t>
      </w:r>
    </w:p>
    <w:p>
      <w:pPr>
        <w:spacing w:line="360" w:lineRule="auto"/>
        <w:ind w:firstLine="560" w:firstLineChars="200"/>
        <w:rPr>
          <w:rFonts w:ascii="黑体" w:hAnsi="黑体" w:eastAsia="黑体" w:cs="仿宋_GB2312"/>
          <w:color w:val="000000"/>
          <w:sz w:val="28"/>
          <w:szCs w:val="28"/>
        </w:rPr>
      </w:pPr>
      <w:r>
        <w:rPr>
          <w:rFonts w:hint="eastAsia" w:ascii="黑体" w:hAnsi="黑体" w:eastAsia="黑体" w:cs="仿宋_GB2312"/>
          <w:sz w:val="28"/>
          <w:szCs w:val="28"/>
        </w:rPr>
        <w:t>五、</w:t>
      </w:r>
      <w:r>
        <w:rPr>
          <w:rFonts w:hint="eastAsia" w:ascii="黑体" w:hAnsi="黑体" w:eastAsia="黑体" w:cs="仿宋_GB2312"/>
          <w:color w:val="000000"/>
          <w:sz w:val="28"/>
          <w:szCs w:val="28"/>
        </w:rPr>
        <w:t>示范中心大事记</w:t>
      </w:r>
    </w:p>
    <w:p>
      <w:pPr>
        <w:ind w:firstLine="560" w:firstLineChars="200"/>
        <w:rPr>
          <w:rFonts w:ascii="楷体" w:hAnsi="楷体" w:eastAsia="楷体" w:cs="仿宋_GB2312"/>
          <w:color w:val="000000"/>
          <w:sz w:val="28"/>
          <w:szCs w:val="28"/>
        </w:rPr>
      </w:pPr>
      <w:r>
        <w:rPr>
          <w:rFonts w:hint="eastAsia" w:ascii="楷体" w:hAnsi="楷体" w:eastAsia="楷体" w:cs="仿宋_GB2312"/>
          <w:color w:val="000000"/>
          <w:sz w:val="28"/>
          <w:szCs w:val="28"/>
        </w:rPr>
        <w:t>（一）有关媒体对示范中心的重要评价，附相应文字和图片资料。</w:t>
      </w:r>
    </w:p>
    <w:p>
      <w:pPr>
        <w:spacing w:line="360" w:lineRule="auto"/>
        <w:ind w:firstLine="560" w:firstLineChars="200"/>
        <w:rPr>
          <w:rFonts w:hint="eastAsia" w:ascii="楷体" w:hAnsi="楷体" w:eastAsia="楷体" w:cs="仿宋_GB2312"/>
          <w:color w:val="000000"/>
          <w:sz w:val="28"/>
          <w:szCs w:val="28"/>
          <w:lang w:eastAsia="zh-CN"/>
        </w:rPr>
      </w:pPr>
      <w:r>
        <w:rPr>
          <w:rFonts w:hint="eastAsia" w:ascii="楷体" w:hAnsi="楷体" w:eastAsia="楷体" w:cs="仿宋_GB2312"/>
          <w:color w:val="000000"/>
          <w:sz w:val="28"/>
          <w:szCs w:val="28"/>
          <w:lang w:eastAsia="zh-CN"/>
        </w:rPr>
        <w:drawing>
          <wp:anchor distT="0" distB="0" distL="114300" distR="114300" simplePos="0" relativeHeight="251660288" behindDoc="0" locked="0" layoutInCell="1" allowOverlap="1">
            <wp:simplePos x="0" y="0"/>
            <wp:positionH relativeFrom="column">
              <wp:posOffset>-292100</wp:posOffset>
            </wp:positionH>
            <wp:positionV relativeFrom="paragraph">
              <wp:posOffset>379095</wp:posOffset>
            </wp:positionV>
            <wp:extent cx="2439670" cy="5288280"/>
            <wp:effectExtent l="0" t="0" r="17780" b="7620"/>
            <wp:wrapSquare wrapText="bothSides"/>
            <wp:docPr id="10" name="图片 10" descr="ec0ecd1cd332cd1dbbf60898281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c0ecd1cd332cd1dbbf608982812410"/>
                    <pic:cNvPicPr>
                      <a:picLocks noChangeAspect="1"/>
                    </pic:cNvPicPr>
                  </pic:nvPicPr>
                  <pic:blipFill>
                    <a:blip r:embed="rId5"/>
                    <a:stretch>
                      <a:fillRect/>
                    </a:stretch>
                  </pic:blipFill>
                  <pic:spPr>
                    <a:xfrm>
                      <a:off x="0" y="0"/>
                      <a:ext cx="2439670" cy="5288280"/>
                    </a:xfrm>
                    <a:prstGeom prst="rect">
                      <a:avLst/>
                    </a:prstGeom>
                  </pic:spPr>
                </pic:pic>
              </a:graphicData>
            </a:graphic>
          </wp:anchor>
        </w:drawing>
      </w:r>
    </w:p>
    <w:p>
      <w:pPr>
        <w:spacing w:line="360" w:lineRule="auto"/>
        <w:ind w:firstLine="560" w:firstLineChars="200"/>
      </w:pPr>
      <w:r>
        <w:rPr>
          <w:rFonts w:hint="eastAsia" w:ascii="楷体" w:hAnsi="楷体" w:eastAsia="楷体" w:cs="仿宋_GB2312"/>
          <w:color w:val="000000"/>
          <w:sz w:val="28"/>
          <w:szCs w:val="28"/>
          <w:lang w:eastAsia="zh-CN"/>
        </w:rPr>
        <w:drawing>
          <wp:anchor distT="0" distB="0" distL="114300" distR="114300" simplePos="0" relativeHeight="251661312" behindDoc="0" locked="0" layoutInCell="1" allowOverlap="1">
            <wp:simplePos x="0" y="0"/>
            <wp:positionH relativeFrom="column">
              <wp:posOffset>504825</wp:posOffset>
            </wp:positionH>
            <wp:positionV relativeFrom="paragraph">
              <wp:posOffset>50800</wp:posOffset>
            </wp:positionV>
            <wp:extent cx="2487295" cy="5391785"/>
            <wp:effectExtent l="0" t="0" r="8255" b="18415"/>
            <wp:wrapSquare wrapText="bothSides"/>
            <wp:docPr id="11" name="图片 11" descr="4c24709a0affdba6c8c32282874e3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c24709a0affdba6c8c32282874e33e"/>
                    <pic:cNvPicPr>
                      <a:picLocks noChangeAspect="1"/>
                    </pic:cNvPicPr>
                  </pic:nvPicPr>
                  <pic:blipFill>
                    <a:blip r:embed="rId6"/>
                    <a:stretch>
                      <a:fillRect/>
                    </a:stretch>
                  </pic:blipFill>
                  <pic:spPr>
                    <a:xfrm>
                      <a:off x="0" y="0"/>
                      <a:ext cx="2487295" cy="5391785"/>
                    </a:xfrm>
                    <a:prstGeom prst="rect">
                      <a:avLst/>
                    </a:prstGeom>
                  </pic:spPr>
                </pic:pic>
              </a:graphicData>
            </a:graphic>
          </wp:anchor>
        </w:drawing>
      </w: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ind w:firstLine="480" w:firstLineChars="200"/>
      </w:pPr>
    </w:p>
    <w:p>
      <w:pPr>
        <w:spacing w:line="360" w:lineRule="auto"/>
      </w:pPr>
    </w:p>
    <w:p>
      <w:pPr>
        <w:spacing w:line="360" w:lineRule="auto"/>
      </w:pPr>
    </w:p>
    <w:p>
      <w:pPr>
        <w:numPr>
          <w:ilvl w:val="0"/>
          <w:numId w:val="3"/>
        </w:numPr>
        <w:spacing w:line="360" w:lineRule="auto"/>
        <w:ind w:firstLine="560" w:firstLineChars="200"/>
        <w:rPr>
          <w:rFonts w:ascii="楷体" w:hAnsi="楷体" w:eastAsia="楷体" w:cs="仿宋_GB2312"/>
          <w:color w:val="000000"/>
          <w:sz w:val="28"/>
          <w:szCs w:val="28"/>
        </w:rPr>
      </w:pPr>
      <w:r>
        <w:rPr>
          <w:rFonts w:hint="eastAsia" w:ascii="楷体" w:hAnsi="楷体" w:eastAsia="楷体" w:cs="仿宋_GB2312"/>
          <w:color w:val="000000"/>
          <w:sz w:val="28"/>
          <w:szCs w:val="28"/>
        </w:rPr>
        <w:t>省部级以上领导同志视察示范中心的图片及说明等。</w:t>
      </w:r>
    </w:p>
    <w:p>
      <w:pPr>
        <w:spacing w:line="360" w:lineRule="auto"/>
        <w:rPr>
          <w:rFonts w:ascii="楷体" w:hAnsi="楷体" w:eastAsia="楷体" w:cs="仿宋_GB2312"/>
          <w:color w:val="000000"/>
          <w:sz w:val="28"/>
          <w:szCs w:val="28"/>
        </w:rPr>
      </w:pPr>
      <w:r>
        <w:drawing>
          <wp:anchor distT="0" distB="0" distL="114300" distR="114300" simplePos="0" relativeHeight="251659264" behindDoc="0" locked="0" layoutInCell="1" allowOverlap="1">
            <wp:simplePos x="0" y="0"/>
            <wp:positionH relativeFrom="column">
              <wp:posOffset>3175</wp:posOffset>
            </wp:positionH>
            <wp:positionV relativeFrom="paragraph">
              <wp:posOffset>67945</wp:posOffset>
            </wp:positionV>
            <wp:extent cx="4855845" cy="3977640"/>
            <wp:effectExtent l="0" t="0" r="1905" b="381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855845" cy="3977640"/>
                    </a:xfrm>
                    <a:prstGeom prst="rect">
                      <a:avLst/>
                    </a:prstGeom>
                    <a:noFill/>
                    <a:ln>
                      <a:noFill/>
                    </a:ln>
                  </pic:spPr>
                </pic:pic>
              </a:graphicData>
            </a:graphic>
          </wp:anchor>
        </w:drawing>
      </w:r>
    </w:p>
    <w:p>
      <w:pPr>
        <w:spacing w:line="360" w:lineRule="auto"/>
        <w:rPr>
          <w:rFonts w:ascii="楷体" w:hAnsi="楷体" w:eastAsia="楷体" w:cs="仿宋_GB2312"/>
          <w:color w:val="000000"/>
          <w:sz w:val="28"/>
          <w:szCs w:val="28"/>
        </w:rPr>
      </w:pPr>
    </w:p>
    <w:p>
      <w:pPr>
        <w:spacing w:line="360" w:lineRule="auto"/>
        <w:rPr>
          <w:rFonts w:ascii="楷体" w:hAnsi="楷体" w:eastAsia="楷体" w:cs="仿宋_GB2312"/>
          <w:color w:val="000000"/>
          <w:sz w:val="28"/>
          <w:szCs w:val="28"/>
        </w:rPr>
      </w:pPr>
    </w:p>
    <w:p>
      <w:pPr>
        <w:spacing w:line="360" w:lineRule="auto"/>
        <w:rPr>
          <w:rFonts w:ascii="楷体" w:hAnsi="楷体" w:eastAsia="楷体" w:cs="仿宋_GB2312"/>
          <w:color w:val="000000"/>
          <w:sz w:val="28"/>
          <w:szCs w:val="28"/>
        </w:rPr>
      </w:pPr>
    </w:p>
    <w:p>
      <w:pPr>
        <w:spacing w:line="360" w:lineRule="auto"/>
        <w:rPr>
          <w:rFonts w:ascii="楷体" w:hAnsi="楷体" w:eastAsia="楷体" w:cs="仿宋_GB2312"/>
          <w:color w:val="000000"/>
          <w:sz w:val="28"/>
          <w:szCs w:val="28"/>
        </w:rPr>
      </w:pPr>
    </w:p>
    <w:p>
      <w:pPr>
        <w:spacing w:line="360" w:lineRule="auto"/>
        <w:rPr>
          <w:rFonts w:ascii="楷体" w:hAnsi="楷体" w:eastAsia="楷体" w:cs="仿宋_GB2312"/>
          <w:color w:val="000000"/>
          <w:sz w:val="28"/>
          <w:szCs w:val="28"/>
        </w:rPr>
      </w:pPr>
    </w:p>
    <w:p>
      <w:pPr>
        <w:spacing w:line="360" w:lineRule="auto"/>
        <w:rPr>
          <w:rFonts w:ascii="楷体" w:hAnsi="楷体" w:eastAsia="楷体" w:cs="仿宋_GB2312"/>
          <w:color w:val="000000"/>
          <w:sz w:val="28"/>
          <w:szCs w:val="28"/>
        </w:rPr>
      </w:pPr>
    </w:p>
    <w:p>
      <w:pPr>
        <w:spacing w:line="360" w:lineRule="auto"/>
        <w:rPr>
          <w:rFonts w:ascii="楷体" w:hAnsi="楷体" w:eastAsia="楷体" w:cs="仿宋_GB2312"/>
          <w:color w:val="000000"/>
          <w:sz w:val="28"/>
          <w:szCs w:val="28"/>
        </w:rPr>
      </w:pPr>
    </w:p>
    <w:p>
      <w:pPr>
        <w:spacing w:line="360" w:lineRule="auto"/>
        <w:rPr>
          <w:rFonts w:ascii="楷体" w:hAnsi="楷体" w:eastAsia="楷体" w:cs="仿宋_GB2312"/>
          <w:color w:val="000000"/>
          <w:sz w:val="28"/>
          <w:szCs w:val="28"/>
        </w:rPr>
      </w:pPr>
    </w:p>
    <w:p>
      <w:pPr>
        <w:ind w:firstLine="560" w:firstLineChars="200"/>
        <w:rPr>
          <w:rFonts w:hint="eastAsia" w:ascii="楷体" w:hAnsi="楷体" w:eastAsia="楷体" w:cs="仿宋_GB2312"/>
          <w:color w:val="000000"/>
          <w:sz w:val="28"/>
          <w:szCs w:val="28"/>
        </w:rPr>
      </w:pPr>
    </w:p>
    <w:p>
      <w:pPr>
        <w:rPr>
          <w:rFonts w:hint="eastAsia" w:ascii="楷体" w:hAnsi="楷体" w:eastAsia="楷体" w:cs="仿宋_GB2312"/>
          <w:color w:val="000000"/>
          <w:sz w:val="28"/>
          <w:szCs w:val="28"/>
        </w:rPr>
      </w:pPr>
      <w:r>
        <w:drawing>
          <wp:anchor distT="0" distB="0" distL="114300" distR="114300" simplePos="0" relativeHeight="251658240" behindDoc="0" locked="0" layoutInCell="1" allowOverlap="1">
            <wp:simplePos x="0" y="0"/>
            <wp:positionH relativeFrom="column">
              <wp:posOffset>142875</wp:posOffset>
            </wp:positionH>
            <wp:positionV relativeFrom="paragraph">
              <wp:posOffset>452755</wp:posOffset>
            </wp:positionV>
            <wp:extent cx="4989830" cy="3994785"/>
            <wp:effectExtent l="0" t="0" r="1270" b="571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989830" cy="3994785"/>
                    </a:xfrm>
                    <a:prstGeom prst="rect">
                      <a:avLst/>
                    </a:prstGeom>
                    <a:noFill/>
                    <a:ln>
                      <a:noFill/>
                    </a:ln>
                  </pic:spPr>
                </pic:pic>
              </a:graphicData>
            </a:graphic>
          </wp:anchor>
        </w:drawing>
      </w:r>
    </w:p>
    <w:p>
      <w:pPr>
        <w:ind w:firstLine="480" w:firstLineChars="200"/>
        <w:rPr>
          <w:rFonts w:hint="eastAsia" w:ascii="楷体" w:hAnsi="楷体" w:eastAsia="楷体" w:cs="仿宋_GB2312"/>
          <w:color w:val="000000"/>
          <w:sz w:val="28"/>
          <w:szCs w:val="28"/>
        </w:rPr>
      </w:pPr>
      <w:r>
        <w:drawing>
          <wp:inline distT="0" distB="0" distL="114300" distR="114300">
            <wp:extent cx="5266055" cy="4015740"/>
            <wp:effectExtent l="0" t="0" r="1079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66055" cy="4015740"/>
                    </a:xfrm>
                    <a:prstGeom prst="rect">
                      <a:avLst/>
                    </a:prstGeom>
                    <a:noFill/>
                    <a:ln>
                      <a:noFill/>
                    </a:ln>
                  </pic:spPr>
                </pic:pic>
              </a:graphicData>
            </a:graphic>
          </wp:inline>
        </w:drawing>
      </w:r>
    </w:p>
    <w:p>
      <w:pPr>
        <w:ind w:firstLine="480" w:firstLineChars="200"/>
        <w:rPr>
          <w:rFonts w:hint="eastAsia" w:ascii="楷体" w:hAnsi="楷体" w:eastAsia="楷体" w:cs="仿宋_GB2312"/>
          <w:color w:val="000000"/>
          <w:sz w:val="28"/>
          <w:szCs w:val="28"/>
        </w:rPr>
      </w:pPr>
      <w:r>
        <w:drawing>
          <wp:inline distT="0" distB="0" distL="114300" distR="114300">
            <wp:extent cx="5266690" cy="4634230"/>
            <wp:effectExtent l="0" t="0" r="10160"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66690" cy="4634230"/>
                    </a:xfrm>
                    <a:prstGeom prst="rect">
                      <a:avLst/>
                    </a:prstGeom>
                    <a:noFill/>
                    <a:ln>
                      <a:noFill/>
                    </a:ln>
                  </pic:spPr>
                </pic:pic>
              </a:graphicData>
            </a:graphic>
          </wp:inline>
        </w:drawing>
      </w:r>
    </w:p>
    <w:p>
      <w:pPr>
        <w:ind w:firstLine="480" w:firstLineChars="200"/>
        <w:rPr>
          <w:rFonts w:hint="eastAsia" w:ascii="楷体" w:hAnsi="楷体" w:eastAsia="楷体" w:cs="仿宋_GB2312"/>
          <w:color w:val="000000"/>
          <w:sz w:val="28"/>
          <w:szCs w:val="28"/>
        </w:rPr>
      </w:pPr>
      <w:r>
        <w:drawing>
          <wp:inline distT="0" distB="0" distL="114300" distR="114300">
            <wp:extent cx="5269865" cy="4010025"/>
            <wp:effectExtent l="0" t="0" r="698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69865" cy="4010025"/>
                    </a:xfrm>
                    <a:prstGeom prst="rect">
                      <a:avLst/>
                    </a:prstGeom>
                    <a:noFill/>
                    <a:ln>
                      <a:noFill/>
                    </a:ln>
                  </pic:spPr>
                </pic:pic>
              </a:graphicData>
            </a:graphic>
          </wp:inline>
        </w:drawing>
      </w:r>
      <w:r>
        <w:drawing>
          <wp:inline distT="0" distB="0" distL="114300" distR="114300">
            <wp:extent cx="5265420" cy="3080385"/>
            <wp:effectExtent l="0" t="0" r="1143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5265420" cy="3080385"/>
                    </a:xfrm>
                    <a:prstGeom prst="rect">
                      <a:avLst/>
                    </a:prstGeom>
                    <a:noFill/>
                    <a:ln>
                      <a:noFill/>
                    </a:ln>
                  </pic:spPr>
                </pic:pic>
              </a:graphicData>
            </a:graphic>
          </wp:inline>
        </w:drawing>
      </w:r>
    </w:p>
    <w:p>
      <w:pPr>
        <w:ind w:firstLine="480" w:firstLineChars="200"/>
        <w:rPr>
          <w:rFonts w:hint="eastAsia" w:ascii="楷体" w:hAnsi="楷体" w:eastAsia="楷体" w:cs="仿宋_GB2312"/>
          <w:color w:val="000000"/>
          <w:sz w:val="28"/>
          <w:szCs w:val="28"/>
        </w:rPr>
      </w:pPr>
      <w:r>
        <w:drawing>
          <wp:inline distT="0" distB="0" distL="114300" distR="114300">
            <wp:extent cx="5262880" cy="4533265"/>
            <wp:effectExtent l="0" t="0" r="1397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5262880" cy="4533265"/>
                    </a:xfrm>
                    <a:prstGeom prst="rect">
                      <a:avLst/>
                    </a:prstGeom>
                    <a:noFill/>
                    <a:ln>
                      <a:noFill/>
                    </a:ln>
                  </pic:spPr>
                </pic:pic>
              </a:graphicData>
            </a:graphic>
          </wp:inline>
        </w:drawing>
      </w:r>
    </w:p>
    <w:p>
      <w:pPr>
        <w:ind w:firstLine="480" w:firstLineChars="200"/>
        <w:rPr>
          <w:rFonts w:hint="eastAsia" w:ascii="楷体" w:hAnsi="楷体" w:eastAsia="楷体" w:cs="仿宋_GB2312"/>
          <w:color w:val="000000"/>
          <w:sz w:val="28"/>
          <w:szCs w:val="28"/>
        </w:rPr>
      </w:pPr>
      <w:r>
        <w:drawing>
          <wp:inline distT="0" distB="0" distL="114300" distR="114300">
            <wp:extent cx="5268595" cy="4138295"/>
            <wp:effectExtent l="0" t="0" r="8255" b="146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5268595" cy="4138295"/>
                    </a:xfrm>
                    <a:prstGeom prst="rect">
                      <a:avLst/>
                    </a:prstGeom>
                    <a:noFill/>
                    <a:ln>
                      <a:noFill/>
                    </a:ln>
                  </pic:spPr>
                </pic:pic>
              </a:graphicData>
            </a:graphic>
          </wp:inline>
        </w:drawing>
      </w:r>
    </w:p>
    <w:p>
      <w:pPr>
        <w:ind w:firstLine="480" w:firstLineChars="200"/>
        <w:rPr>
          <w:rFonts w:hint="eastAsia" w:ascii="楷体" w:hAnsi="楷体" w:eastAsia="楷体" w:cs="仿宋_GB2312"/>
          <w:color w:val="000000"/>
          <w:sz w:val="28"/>
          <w:szCs w:val="28"/>
        </w:rPr>
      </w:pPr>
      <w:r>
        <w:drawing>
          <wp:inline distT="0" distB="0" distL="114300" distR="114300">
            <wp:extent cx="5266690" cy="4142740"/>
            <wp:effectExtent l="0" t="0" r="10160" b="101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5266690" cy="4142740"/>
                    </a:xfrm>
                    <a:prstGeom prst="rect">
                      <a:avLst/>
                    </a:prstGeom>
                    <a:noFill/>
                    <a:ln>
                      <a:noFill/>
                    </a:ln>
                  </pic:spPr>
                </pic:pic>
              </a:graphicData>
            </a:graphic>
          </wp:inline>
        </w:drawing>
      </w:r>
    </w:p>
    <w:p>
      <w:pPr>
        <w:ind w:firstLine="560" w:firstLineChars="200"/>
        <w:rPr>
          <w:rFonts w:ascii="楷体" w:hAnsi="楷体" w:eastAsia="楷体" w:cs="仿宋_GB2312"/>
          <w:color w:val="000000"/>
          <w:sz w:val="28"/>
          <w:szCs w:val="28"/>
        </w:rPr>
      </w:pPr>
      <w:r>
        <w:rPr>
          <w:rFonts w:hint="eastAsia" w:ascii="楷体" w:hAnsi="楷体" w:eastAsia="楷体" w:cs="仿宋_GB2312"/>
          <w:color w:val="000000"/>
          <w:sz w:val="28"/>
          <w:szCs w:val="28"/>
        </w:rPr>
        <w:t>（三）其它对示范中心发展有重大影响的活动等。</w:t>
      </w:r>
    </w:p>
    <w:tbl>
      <w:tblPr>
        <w:tblStyle w:val="7"/>
        <w:tblW w:w="8835" w:type="dxa"/>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14"/>
        <w:gridCol w:w="72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14" w:type="dxa"/>
            <w:vAlign w:val="center"/>
          </w:tcPr>
          <w:p>
            <w:pPr>
              <w:adjustRightInd w:val="0"/>
              <w:snapToGrid w:val="0"/>
              <w:spacing w:line="360" w:lineRule="auto"/>
              <w:rPr>
                <w:rFonts w:ascii="宋体" w:hAnsi="宋体" w:cs="Times New Roman"/>
                <w:b/>
                <w:color w:val="000000"/>
                <w:sz w:val="28"/>
                <w:szCs w:val="28"/>
              </w:rPr>
            </w:pPr>
            <w:r>
              <w:rPr>
                <w:rFonts w:hint="eastAsia" w:ascii="宋体" w:hAnsi="宋体" w:cs="Times New Roman"/>
                <w:b/>
                <w:color w:val="000000"/>
                <w:sz w:val="28"/>
                <w:szCs w:val="28"/>
              </w:rPr>
              <w:t>时间</w:t>
            </w:r>
          </w:p>
        </w:tc>
        <w:tc>
          <w:tcPr>
            <w:tcW w:w="7221" w:type="dxa"/>
            <w:vAlign w:val="center"/>
          </w:tcPr>
          <w:p>
            <w:pPr>
              <w:adjustRightInd w:val="0"/>
              <w:snapToGrid w:val="0"/>
              <w:spacing w:line="360" w:lineRule="auto"/>
              <w:rPr>
                <w:rFonts w:ascii="宋体" w:hAnsi="宋体" w:cs="Times New Roman"/>
                <w:b/>
                <w:color w:val="000000"/>
                <w:sz w:val="28"/>
                <w:szCs w:val="28"/>
              </w:rPr>
            </w:pPr>
            <w:r>
              <w:rPr>
                <w:rFonts w:hint="eastAsia" w:ascii="宋体" w:hAnsi="宋体" w:cs="Times New Roman"/>
                <w:b/>
                <w:color w:val="000000"/>
                <w:sz w:val="28"/>
                <w:szCs w:val="28"/>
              </w:rPr>
              <w:t>举办活动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14" w:type="dxa"/>
            <w:vAlign w:val="center"/>
          </w:tcPr>
          <w:p>
            <w:pPr>
              <w:adjustRightInd w:val="0"/>
              <w:snapToGrid w:val="0"/>
              <w:spacing w:line="360" w:lineRule="auto"/>
              <w:rPr>
                <w:rFonts w:hint="default" w:asciiTheme="minorEastAsia" w:hAnsiTheme="minorEastAsia" w:eastAsiaTheme="minorEastAsia" w:cstheme="minorEastAsia"/>
                <w:color w:val="000000"/>
                <w:lang w:val="en-US" w:eastAsia="zh-CN"/>
              </w:rPr>
            </w:pPr>
            <w:r>
              <w:rPr>
                <w:rFonts w:hint="eastAsia" w:asciiTheme="minorEastAsia" w:hAnsiTheme="minorEastAsia" w:cstheme="minorEastAsia"/>
                <w:color w:val="000000"/>
              </w:rPr>
              <w:t>20</w:t>
            </w:r>
            <w:r>
              <w:rPr>
                <w:rFonts w:hint="eastAsia" w:asciiTheme="minorEastAsia" w:hAnsiTheme="minorEastAsia" w:cstheme="minorEastAsia"/>
                <w:color w:val="000000"/>
                <w:lang w:val="en-US" w:eastAsia="zh-CN"/>
              </w:rPr>
              <w:t>20</w:t>
            </w:r>
            <w:r>
              <w:rPr>
                <w:rFonts w:hint="eastAsia" w:asciiTheme="minorEastAsia" w:hAnsiTheme="minorEastAsia" w:cstheme="minorEastAsia"/>
                <w:color w:val="000000"/>
              </w:rPr>
              <w:t>.</w:t>
            </w:r>
            <w:r>
              <w:rPr>
                <w:rFonts w:hint="eastAsia" w:asciiTheme="minorEastAsia" w:hAnsiTheme="minorEastAsia" w:cstheme="minorEastAsia"/>
                <w:color w:val="000000"/>
                <w:lang w:val="en-US" w:eastAsia="zh-CN"/>
              </w:rPr>
              <w:t>6</w:t>
            </w:r>
            <w:r>
              <w:rPr>
                <w:rFonts w:hint="eastAsia" w:asciiTheme="minorEastAsia" w:hAnsiTheme="minorEastAsia" w:cstheme="minorEastAsia"/>
                <w:color w:val="000000"/>
              </w:rPr>
              <w:t>.</w:t>
            </w:r>
            <w:r>
              <w:rPr>
                <w:rFonts w:hint="eastAsia" w:asciiTheme="minorEastAsia" w:hAnsiTheme="minorEastAsia" w:cstheme="minorEastAsia"/>
                <w:color w:val="000000"/>
                <w:lang w:val="en-US" w:eastAsia="zh-CN"/>
              </w:rPr>
              <w:t>1</w:t>
            </w:r>
            <w:r>
              <w:rPr>
                <w:rFonts w:hint="eastAsia" w:asciiTheme="minorEastAsia" w:hAnsiTheme="minorEastAsia" w:cstheme="minorEastAsia"/>
                <w:color w:val="000000"/>
              </w:rPr>
              <w:t>3—20</w:t>
            </w:r>
            <w:r>
              <w:rPr>
                <w:rFonts w:hint="eastAsia" w:asciiTheme="minorEastAsia" w:hAnsiTheme="minorEastAsia" w:cstheme="minorEastAsia"/>
                <w:color w:val="000000"/>
                <w:lang w:val="en-US" w:eastAsia="zh-CN"/>
              </w:rPr>
              <w:t>20</w:t>
            </w:r>
            <w:r>
              <w:rPr>
                <w:rFonts w:hint="eastAsia" w:asciiTheme="minorEastAsia" w:hAnsiTheme="minorEastAsia" w:cstheme="minorEastAsia"/>
                <w:color w:val="000000"/>
              </w:rPr>
              <w:t>.</w:t>
            </w:r>
            <w:r>
              <w:rPr>
                <w:rFonts w:hint="eastAsia" w:asciiTheme="minorEastAsia" w:hAnsiTheme="minorEastAsia" w:cstheme="minorEastAsia"/>
                <w:color w:val="000000"/>
                <w:lang w:val="en-US" w:eastAsia="zh-CN"/>
              </w:rPr>
              <w:t>6</w:t>
            </w:r>
            <w:r>
              <w:rPr>
                <w:rFonts w:hint="eastAsia" w:asciiTheme="minorEastAsia" w:hAnsiTheme="minorEastAsia" w:cstheme="minorEastAsia"/>
                <w:color w:val="000000"/>
              </w:rPr>
              <w:t>.</w:t>
            </w:r>
            <w:r>
              <w:rPr>
                <w:rFonts w:hint="eastAsia" w:asciiTheme="minorEastAsia" w:hAnsiTheme="minorEastAsia" w:cstheme="minorEastAsia"/>
                <w:color w:val="000000"/>
                <w:lang w:val="en-US" w:eastAsia="zh-CN"/>
              </w:rPr>
              <w:t>28</w:t>
            </w:r>
          </w:p>
        </w:tc>
        <w:tc>
          <w:tcPr>
            <w:tcW w:w="7221" w:type="dxa"/>
            <w:vAlign w:val="bottom"/>
          </w:tcPr>
          <w:p>
            <w:pPr>
              <w:adjustRightInd w:val="0"/>
              <w:snapToGrid w:val="0"/>
              <w:spacing w:line="360" w:lineRule="auto"/>
              <w:rPr>
                <w:rFonts w:asciiTheme="minorEastAsia" w:hAnsiTheme="minorEastAsia" w:cstheme="minorEastAsia"/>
                <w:kern w:val="0"/>
              </w:rPr>
            </w:pPr>
            <w:r>
              <w:rPr>
                <w:rFonts w:hint="eastAsia" w:asciiTheme="minorEastAsia" w:hAnsiTheme="minorEastAsia" w:cstheme="minorEastAsia"/>
                <w:color w:val="000000"/>
              </w:rPr>
              <w:t>昆明医科大学第</w:t>
            </w:r>
            <w:r>
              <w:rPr>
                <w:rFonts w:hint="eastAsia" w:asciiTheme="minorEastAsia" w:hAnsiTheme="minorEastAsia" w:cstheme="minorEastAsia"/>
                <w:color w:val="000000"/>
                <w:lang w:eastAsia="zh-CN"/>
              </w:rPr>
              <w:t>五</w:t>
            </w:r>
            <w:r>
              <w:rPr>
                <w:rFonts w:hint="eastAsia" w:asciiTheme="minorEastAsia" w:hAnsiTheme="minorEastAsia" w:cstheme="minorEastAsia"/>
                <w:color w:val="000000"/>
              </w:rPr>
              <w:t>期龙陵健康扶贫暨龙陵县乡村医务人员提升工程培训班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14" w:type="dxa"/>
            <w:vAlign w:val="center"/>
          </w:tcPr>
          <w:p>
            <w:pPr>
              <w:adjustRightInd w:val="0"/>
              <w:snapToGrid w:val="0"/>
              <w:spacing w:line="360" w:lineRule="auto"/>
              <w:rPr>
                <w:rFonts w:hint="eastAsia" w:asciiTheme="minorEastAsia" w:hAnsiTheme="minorEastAsia" w:eastAsiaTheme="minorEastAsia" w:cstheme="minorEastAsia"/>
                <w:color w:val="000000"/>
                <w:lang w:val="en-US" w:eastAsia="zh-CN"/>
              </w:rPr>
            </w:pPr>
            <w:r>
              <w:rPr>
                <w:rFonts w:hint="eastAsia" w:asciiTheme="minorEastAsia" w:hAnsiTheme="minorEastAsia" w:cstheme="minorEastAsia"/>
                <w:color w:val="000000"/>
              </w:rPr>
              <w:t>20</w:t>
            </w:r>
            <w:r>
              <w:rPr>
                <w:rFonts w:hint="eastAsia" w:asciiTheme="minorEastAsia" w:hAnsiTheme="minorEastAsia" w:cstheme="minorEastAsia"/>
                <w:color w:val="000000"/>
                <w:lang w:val="en-US" w:eastAsia="zh-CN"/>
              </w:rPr>
              <w:t>20</w:t>
            </w:r>
            <w:r>
              <w:rPr>
                <w:rFonts w:hint="eastAsia" w:asciiTheme="minorEastAsia" w:hAnsiTheme="minorEastAsia" w:cstheme="minorEastAsia"/>
                <w:color w:val="000000"/>
              </w:rPr>
              <w:t>.</w:t>
            </w:r>
            <w:r>
              <w:rPr>
                <w:rFonts w:hint="eastAsia" w:asciiTheme="minorEastAsia" w:hAnsiTheme="minorEastAsia" w:cstheme="minorEastAsia"/>
                <w:color w:val="000000"/>
                <w:lang w:val="en-US" w:eastAsia="zh-CN"/>
              </w:rPr>
              <w:t>7</w:t>
            </w:r>
            <w:r>
              <w:rPr>
                <w:rFonts w:hint="eastAsia" w:asciiTheme="minorEastAsia" w:hAnsiTheme="minorEastAsia" w:cstheme="minorEastAsia"/>
                <w:color w:val="000000"/>
              </w:rPr>
              <w:t>.1</w:t>
            </w:r>
            <w:r>
              <w:rPr>
                <w:rFonts w:hint="eastAsia" w:asciiTheme="minorEastAsia" w:hAnsiTheme="minorEastAsia" w:cstheme="minorEastAsia"/>
                <w:color w:val="000000"/>
                <w:lang w:val="en-US" w:eastAsia="zh-CN"/>
              </w:rPr>
              <w:t>0</w:t>
            </w:r>
            <w:r>
              <w:rPr>
                <w:rFonts w:hint="eastAsia" w:asciiTheme="minorEastAsia" w:hAnsiTheme="minorEastAsia" w:cstheme="minorEastAsia"/>
                <w:color w:val="000000"/>
              </w:rPr>
              <w:t>—20</w:t>
            </w:r>
            <w:r>
              <w:rPr>
                <w:rFonts w:hint="eastAsia" w:asciiTheme="minorEastAsia" w:hAnsiTheme="minorEastAsia" w:cstheme="minorEastAsia"/>
                <w:color w:val="000000"/>
                <w:lang w:val="en-US" w:eastAsia="zh-CN"/>
              </w:rPr>
              <w:t>20</w:t>
            </w:r>
            <w:r>
              <w:rPr>
                <w:rFonts w:hint="eastAsia" w:asciiTheme="minorEastAsia" w:hAnsiTheme="minorEastAsia" w:cstheme="minorEastAsia"/>
                <w:color w:val="000000"/>
              </w:rPr>
              <w:t>.</w:t>
            </w:r>
            <w:r>
              <w:rPr>
                <w:rFonts w:hint="eastAsia" w:asciiTheme="minorEastAsia" w:hAnsiTheme="minorEastAsia" w:cstheme="minorEastAsia"/>
                <w:color w:val="000000"/>
                <w:lang w:val="en-US" w:eastAsia="zh-CN"/>
              </w:rPr>
              <w:t>7</w:t>
            </w:r>
            <w:r>
              <w:rPr>
                <w:rFonts w:hint="eastAsia" w:asciiTheme="minorEastAsia" w:hAnsiTheme="minorEastAsia" w:cstheme="minorEastAsia"/>
                <w:color w:val="000000"/>
              </w:rPr>
              <w:t>.2</w:t>
            </w:r>
            <w:r>
              <w:rPr>
                <w:rFonts w:hint="eastAsia" w:asciiTheme="minorEastAsia" w:hAnsiTheme="minorEastAsia" w:cstheme="minorEastAsia"/>
                <w:color w:val="000000"/>
                <w:lang w:val="en-US" w:eastAsia="zh-CN"/>
              </w:rPr>
              <w:t>4</w:t>
            </w:r>
          </w:p>
        </w:tc>
        <w:tc>
          <w:tcPr>
            <w:tcW w:w="7221" w:type="dxa"/>
            <w:vAlign w:val="bottom"/>
          </w:tcPr>
          <w:p>
            <w:pPr>
              <w:adjustRightInd w:val="0"/>
              <w:snapToGrid w:val="0"/>
              <w:spacing w:line="360" w:lineRule="auto"/>
              <w:rPr>
                <w:rFonts w:asciiTheme="minorEastAsia" w:hAnsiTheme="minorEastAsia" w:cstheme="minorEastAsia"/>
                <w:color w:val="000000"/>
              </w:rPr>
            </w:pPr>
            <w:r>
              <w:rPr>
                <w:rFonts w:hint="eastAsia" w:asciiTheme="minorEastAsia" w:hAnsiTheme="minorEastAsia" w:cstheme="minorEastAsia"/>
                <w:color w:val="000000"/>
              </w:rPr>
              <w:t>国家医师资格实践技能考试</w:t>
            </w:r>
          </w:p>
        </w:tc>
      </w:tr>
    </w:tbl>
    <w:p>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六、示范中心存在的主要问题</w:t>
      </w:r>
    </w:p>
    <w:p>
      <w:pPr>
        <w:spacing w:line="360" w:lineRule="auto"/>
        <w:ind w:firstLine="562" w:firstLineChars="200"/>
        <w:rPr>
          <w:rFonts w:ascii="黑体" w:hAnsi="黑体" w:eastAsia="黑体" w:cs="仿宋_GB2312"/>
          <w:sz w:val="28"/>
          <w:szCs w:val="28"/>
        </w:rPr>
      </w:pPr>
      <w:r>
        <w:rPr>
          <w:rFonts w:hint="eastAsia" w:ascii="宋体" w:hAnsi="宋体" w:cs="Times New Roman"/>
          <w:b/>
          <w:sz w:val="28"/>
          <w:szCs w:val="28"/>
        </w:rPr>
        <w:t>中心的建设水平与学校建设高水平大学的目标尚有一定距离。</w:t>
      </w:r>
      <w:r>
        <w:rPr>
          <w:rFonts w:hint="eastAsia" w:ascii="宋体" w:hAnsi="宋体" w:cs="Times New Roman"/>
          <w:sz w:val="28"/>
          <w:szCs w:val="28"/>
        </w:rPr>
        <w:t>为实现学校的建设目标，随着医教协同临床医学人才培养模式改革和国家临床执业医师资格考试改革的推进，中心需要进一步提升软件和硬件建设水平，一是要持续深化教育教学改革，完善培养高水平临床医师需要的医学模拟教学体系，提升人才培养质量。二是进一步推进相关</w:t>
      </w:r>
      <w:r>
        <w:rPr>
          <w:rFonts w:hint="eastAsia" w:ascii="宋体" w:hAnsi="宋体" w:cs="宋体"/>
          <w:kern w:val="0"/>
          <w:sz w:val="28"/>
          <w:szCs w:val="28"/>
        </w:rPr>
        <w:t>实验室的虚拟仿真建设水平，力争建为成虚拟仿真实验教学中心，实现智慧医学和精准医学模拟教学。</w:t>
      </w:r>
      <w:r>
        <w:rPr>
          <w:rFonts w:hint="eastAsia" w:ascii="宋体" w:hAnsi="宋体" w:cs="宋体"/>
          <w:kern w:val="0"/>
          <w:sz w:val="28"/>
          <w:szCs w:val="28"/>
          <w:lang w:eastAsia="zh-CN"/>
        </w:rPr>
        <w:t>三是</w:t>
      </w:r>
      <w:r>
        <w:rPr>
          <w:rFonts w:hint="eastAsia" w:ascii="宋体" w:hAnsi="宋体" w:cs="Times New Roman"/>
          <w:sz w:val="28"/>
          <w:szCs w:val="28"/>
        </w:rPr>
        <w:t>目前中心</w:t>
      </w:r>
      <w:r>
        <w:rPr>
          <w:rFonts w:hint="eastAsia" w:ascii="宋体" w:hAnsi="宋体" w:cs="Times New Roman"/>
          <w:sz w:val="28"/>
          <w:szCs w:val="28"/>
          <w:lang w:eastAsia="zh-CN"/>
        </w:rPr>
        <w:t>缺乏国家级、省级教学名师。</w:t>
      </w:r>
    </w:p>
    <w:p>
      <w:pPr>
        <w:spacing w:line="360" w:lineRule="auto"/>
        <w:ind w:firstLine="560" w:firstLineChars="200"/>
        <w:rPr>
          <w:rFonts w:hint="eastAsia" w:ascii="黑体" w:hAnsi="黑体" w:eastAsia="黑体" w:cs="仿宋_GB2312"/>
          <w:sz w:val="28"/>
          <w:szCs w:val="28"/>
        </w:rPr>
      </w:pPr>
      <w:r>
        <w:rPr>
          <w:rFonts w:hint="eastAsia" w:ascii="黑体" w:hAnsi="黑体" w:eastAsia="黑体" w:cs="仿宋_GB2312"/>
          <w:sz w:val="28"/>
          <w:szCs w:val="28"/>
        </w:rPr>
        <w:t>七、</w:t>
      </w:r>
      <w:bookmarkStart w:id="0" w:name="OLE_LINK55"/>
      <w:bookmarkStart w:id="1" w:name="OLE_LINK97"/>
      <w:bookmarkStart w:id="2" w:name="OLE_LINK98"/>
      <w:bookmarkStart w:id="3" w:name="OLE_LINK99"/>
      <w:bookmarkStart w:id="4" w:name="OLE_LINK100"/>
      <w:bookmarkStart w:id="5" w:name="OLE_LINK1"/>
      <w:bookmarkStart w:id="6" w:name="OLE_LINK101"/>
      <w:bookmarkStart w:id="7" w:name="OLE_LINK103"/>
      <w:bookmarkStart w:id="8" w:name="OLE_LINK102"/>
      <w:bookmarkStart w:id="9" w:name="OLE_LINK2"/>
      <w:bookmarkStart w:id="10" w:name="OLE_LINK3"/>
      <w:bookmarkStart w:id="11" w:name="OLE_LINK4"/>
      <w:bookmarkStart w:id="12" w:name="OLE_LINK5"/>
      <w:bookmarkStart w:id="13" w:name="OLE_LINK8"/>
      <w:bookmarkStart w:id="14" w:name="OLE_LINK6"/>
      <w:bookmarkStart w:id="15" w:name="OLE_LINK7"/>
      <w:bookmarkStart w:id="16" w:name="OLE_LINK9"/>
      <w:bookmarkStart w:id="17" w:name="OLE_LINK10"/>
      <w:bookmarkStart w:id="18" w:name="OLE_LINK12"/>
      <w:bookmarkStart w:id="19" w:name="OLE_LINK11"/>
      <w:bookmarkStart w:id="20" w:name="OLE_LINK14"/>
      <w:bookmarkStart w:id="21" w:name="OLE_LINK13"/>
      <w:bookmarkStart w:id="22" w:name="OLE_LINK17"/>
      <w:bookmarkStart w:id="23" w:name="OLE_LINK15"/>
      <w:bookmarkStart w:id="24" w:name="OLE_LINK16"/>
      <w:bookmarkStart w:id="25" w:name="OLE_LINK18"/>
      <w:bookmarkStart w:id="26" w:name="OLE_LINK19"/>
      <w:bookmarkStart w:id="27" w:name="OLE_LINK22"/>
      <w:bookmarkStart w:id="28" w:name="OLE_LINK20"/>
      <w:bookmarkStart w:id="29" w:name="OLE_LINK21"/>
      <w:bookmarkStart w:id="30" w:name="OLE_LINK23"/>
      <w:bookmarkStart w:id="31" w:name="OLE_LINK24"/>
      <w:bookmarkStart w:id="32" w:name="OLE_LINK25"/>
      <w:bookmarkStart w:id="33" w:name="OLE_LINK26"/>
      <w:bookmarkStart w:id="34" w:name="OLE_LINK27"/>
      <w:bookmarkStart w:id="35" w:name="OLE_LINK28"/>
      <w:bookmarkStart w:id="36" w:name="OLE_LINK29"/>
      <w:bookmarkStart w:id="37" w:name="OLE_LINK30"/>
      <w:bookmarkStart w:id="38" w:name="OLE_LINK31"/>
      <w:bookmarkStart w:id="39" w:name="OLE_LINK32"/>
      <w:bookmarkStart w:id="40" w:name="OLE_LINK33"/>
      <w:bookmarkStart w:id="41" w:name="OLE_LINK34"/>
      <w:bookmarkStart w:id="42" w:name="OLE_LINK35"/>
      <w:bookmarkStart w:id="43" w:name="OLE_LINK36"/>
      <w:bookmarkStart w:id="44" w:name="OLE_LINK37"/>
      <w:bookmarkStart w:id="45" w:name="OLE_LINK38"/>
      <w:bookmarkStart w:id="46" w:name="OLE_LINK39"/>
      <w:bookmarkStart w:id="47" w:name="OLE_LINK40"/>
      <w:bookmarkStart w:id="48" w:name="OLE_LINK41"/>
      <w:bookmarkStart w:id="49" w:name="OLE_LINK42"/>
      <w:bookmarkStart w:id="50" w:name="OLE_LINK43"/>
      <w:bookmarkStart w:id="51" w:name="OLE_LINK44"/>
      <w:bookmarkStart w:id="52" w:name="OLE_LINK45"/>
      <w:bookmarkStart w:id="53" w:name="OLE_LINK46"/>
      <w:bookmarkStart w:id="54" w:name="OLE_LINK47"/>
      <w:bookmarkStart w:id="55" w:name="OLE_LINK48"/>
      <w:bookmarkStart w:id="56" w:name="OLE_LINK49"/>
      <w:bookmarkStart w:id="57" w:name="OLE_LINK50"/>
      <w:bookmarkStart w:id="58" w:name="OLE_LINK51"/>
      <w:bookmarkStart w:id="59" w:name="OLE_LINK52"/>
      <w:bookmarkStart w:id="60" w:name="OLE_LINK53"/>
      <w:bookmarkStart w:id="61" w:name="OLE_LINK54"/>
      <w:bookmarkStart w:id="62" w:name="OLE_LINK56"/>
      <w:bookmarkStart w:id="63" w:name="OLE_LINK57"/>
      <w:bookmarkStart w:id="64" w:name="OLE_LINK58"/>
      <w:bookmarkStart w:id="65" w:name="OLE_LINK59"/>
      <w:bookmarkStart w:id="66" w:name="OLE_LINK60"/>
      <w:bookmarkStart w:id="67" w:name="OLE_LINK61"/>
      <w:bookmarkStart w:id="68" w:name="OLE_LINK62"/>
      <w:bookmarkStart w:id="69" w:name="OLE_LINK63"/>
      <w:bookmarkStart w:id="70" w:name="OLE_LINK64"/>
      <w:bookmarkStart w:id="71" w:name="OLE_LINK65"/>
      <w:bookmarkStart w:id="72" w:name="OLE_LINK66"/>
      <w:bookmarkStart w:id="73" w:name="OLE_LINK67"/>
      <w:bookmarkStart w:id="74" w:name="OLE_LINK68"/>
      <w:bookmarkStart w:id="75" w:name="OLE_LINK69"/>
      <w:bookmarkStart w:id="76" w:name="OLE_LINK70"/>
      <w:bookmarkStart w:id="77" w:name="OLE_LINK71"/>
      <w:bookmarkStart w:id="78" w:name="OLE_LINK72"/>
      <w:bookmarkStart w:id="79" w:name="OLE_LINK73"/>
      <w:bookmarkStart w:id="80" w:name="OLE_LINK74"/>
      <w:bookmarkStart w:id="81" w:name="OLE_LINK75"/>
      <w:bookmarkStart w:id="82" w:name="OLE_LINK76"/>
      <w:bookmarkStart w:id="83" w:name="OLE_LINK77"/>
      <w:bookmarkStart w:id="84" w:name="OLE_LINK78"/>
      <w:bookmarkStart w:id="85" w:name="OLE_LINK79"/>
      <w:bookmarkStart w:id="86" w:name="OLE_LINK80"/>
      <w:bookmarkStart w:id="87" w:name="OLE_LINK81"/>
      <w:bookmarkStart w:id="88" w:name="OLE_LINK82"/>
      <w:bookmarkStart w:id="89" w:name="OLE_LINK83"/>
      <w:bookmarkStart w:id="90" w:name="OLE_LINK84"/>
      <w:bookmarkStart w:id="91" w:name="OLE_LINK85"/>
      <w:bookmarkStart w:id="92" w:name="OLE_LINK86"/>
      <w:bookmarkStart w:id="93" w:name="OLE_LINK87"/>
      <w:bookmarkStart w:id="94" w:name="OLE_LINK88"/>
      <w:bookmarkStart w:id="95" w:name="OLE_LINK89"/>
      <w:bookmarkStart w:id="96" w:name="OLE_LINK90"/>
      <w:bookmarkStart w:id="97" w:name="OLE_LINK91"/>
      <w:bookmarkStart w:id="98" w:name="OLE_LINK92"/>
      <w:bookmarkStart w:id="99" w:name="OLE_LINK93"/>
      <w:bookmarkStart w:id="100" w:name="OLE_LINK94"/>
      <w:bookmarkStart w:id="101" w:name="OLE_LINK95"/>
      <w:bookmarkStart w:id="102" w:name="OLE_LINK96"/>
      <w:r>
        <w:rPr>
          <w:rFonts w:hint="eastAsia" w:ascii="黑体" w:hAnsi="黑体" w:eastAsia="黑体" w:cs="仿宋_GB2312"/>
          <w:sz w:val="28"/>
          <w:szCs w:val="28"/>
        </w:rPr>
        <w:t>所在学校与学校上级主管部门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黑体" w:hAnsi="黑体" w:eastAsia="黑体" w:cs="仿宋_GB2312"/>
          <w:sz w:val="28"/>
          <w:szCs w:val="28"/>
        </w:rPr>
        <w:t>的支持</w:t>
      </w:r>
    </w:p>
    <w:p>
      <w:pPr>
        <w:spacing w:line="360" w:lineRule="auto"/>
        <w:ind w:firstLine="562" w:firstLineChars="200"/>
        <w:rPr>
          <w:rFonts w:hint="eastAsia" w:ascii="宋体" w:hAnsi="宋体" w:eastAsia="宋体" w:cs="宋体"/>
          <w:sz w:val="28"/>
          <w:szCs w:val="28"/>
          <w:lang w:val="en-US" w:eastAsia="zh-CN"/>
        </w:rPr>
      </w:pPr>
      <w:r>
        <w:rPr>
          <w:rFonts w:hint="eastAsia" w:ascii="宋体" w:hAnsi="宋体" w:eastAsia="宋体" w:cs="宋体"/>
          <w:b/>
          <w:bCs/>
          <w:sz w:val="28"/>
          <w:szCs w:val="28"/>
          <w:lang w:eastAsia="zh-CN"/>
        </w:rPr>
        <w:t>（一）昆明医科大学</w:t>
      </w:r>
      <w:r>
        <w:rPr>
          <w:rFonts w:hint="eastAsia" w:ascii="宋体" w:hAnsi="宋体" w:eastAsia="宋体" w:cs="宋体"/>
          <w:b/>
          <w:bCs/>
          <w:sz w:val="28"/>
          <w:szCs w:val="28"/>
          <w:lang w:val="en-US" w:eastAsia="zh-CN"/>
        </w:rPr>
        <w:t>第二期虚拟仿真实验教学项目经费130万元。</w:t>
      </w:r>
      <w:r>
        <w:rPr>
          <w:rFonts w:hint="eastAsia" w:ascii="宋体" w:hAnsi="宋体" w:eastAsia="宋体" w:cs="宋体"/>
          <w:sz w:val="28"/>
          <w:szCs w:val="28"/>
          <w:lang w:val="en-US" w:eastAsia="zh-CN"/>
        </w:rPr>
        <w:t>2020年，中心获得中央支持地方专项经费130万元，用于建设昆明医科大学第二期虚拟仿真实验教学项目。</w:t>
      </w:r>
    </w:p>
    <w:p>
      <w:pPr>
        <w:spacing w:line="360" w:lineRule="auto"/>
        <w:ind w:firstLine="562" w:firstLineChars="200"/>
        <w:rPr>
          <w:rFonts w:hint="default" w:ascii="宋体" w:hAnsi="宋体" w:eastAsia="宋体" w:cs="宋体"/>
          <w:sz w:val="28"/>
          <w:szCs w:val="28"/>
          <w:lang w:val="en-US" w:eastAsia="zh-CN"/>
        </w:rPr>
      </w:pPr>
      <w:r>
        <w:rPr>
          <w:rFonts w:hint="eastAsia" w:ascii="宋体" w:hAnsi="宋体" w:eastAsia="宋体" w:cs="宋体"/>
          <w:b/>
          <w:bCs/>
          <w:sz w:val="28"/>
          <w:szCs w:val="28"/>
          <w:lang w:val="en-US" w:eastAsia="zh-CN"/>
        </w:rPr>
        <w:t>（二）第十届中国大学生医学技术技能大赛西南西北分区赛经费120万元。</w:t>
      </w:r>
      <w:r>
        <w:rPr>
          <w:rFonts w:hint="eastAsia" w:ascii="宋体" w:hAnsi="宋体" w:eastAsia="宋体" w:cs="宋体"/>
          <w:sz w:val="28"/>
          <w:szCs w:val="28"/>
          <w:lang w:val="en-US" w:eastAsia="zh-CN"/>
        </w:rPr>
        <w:t>2020年，昆明医科大学成功申报为第十届中国大学生医学技术技能大赛西南西北分区赛筹备单位，学校划拨给中心分区赛筹备经费120万元，用于大赛的举办。</w:t>
      </w:r>
    </w:p>
    <w:p>
      <w:pPr>
        <w:widowControl/>
        <w:adjustRightInd w:val="0"/>
        <w:snapToGrid w:val="0"/>
        <w:spacing w:line="360" w:lineRule="auto"/>
        <w:ind w:firstLine="551" w:firstLineChars="196"/>
        <w:rPr>
          <w:rFonts w:hint="eastAsia" w:ascii="宋体" w:hAnsi="宋体" w:eastAsia="宋体" w:cs="宋体"/>
          <w:kern w:val="0"/>
          <w:sz w:val="28"/>
          <w:szCs w:val="28"/>
        </w:rPr>
      </w:pPr>
      <w:r>
        <w:rPr>
          <w:rFonts w:hint="eastAsia" w:ascii="宋体" w:hAnsi="宋体" w:eastAsia="宋体" w:cs="宋体"/>
          <w:b/>
          <w:kern w:val="0"/>
          <w:sz w:val="28"/>
          <w:szCs w:val="28"/>
        </w:rPr>
        <w:t>（</w:t>
      </w:r>
      <w:r>
        <w:rPr>
          <w:rFonts w:hint="eastAsia" w:ascii="宋体" w:hAnsi="宋体" w:eastAsia="宋体" w:cs="宋体"/>
          <w:b/>
          <w:kern w:val="0"/>
          <w:sz w:val="28"/>
          <w:szCs w:val="28"/>
          <w:lang w:eastAsia="zh-CN"/>
        </w:rPr>
        <w:t>三</w:t>
      </w:r>
      <w:r>
        <w:rPr>
          <w:rFonts w:hint="eastAsia" w:ascii="宋体" w:hAnsi="宋体" w:eastAsia="宋体" w:cs="宋体"/>
          <w:b/>
          <w:kern w:val="0"/>
          <w:sz w:val="28"/>
          <w:szCs w:val="28"/>
        </w:rPr>
        <w:t>）年度教学运转经费68万元。</w:t>
      </w:r>
      <w:r>
        <w:rPr>
          <w:rFonts w:hint="eastAsia" w:ascii="宋体" w:hAnsi="宋体" w:eastAsia="宋体" w:cs="宋体"/>
          <w:kern w:val="0"/>
          <w:sz w:val="28"/>
          <w:szCs w:val="28"/>
        </w:rPr>
        <w:t>学校高度重视和支持国家级实验教学中心的建设发展，划拨给中心的日常教学运转费以每年度10%的涨幅递增。20</w:t>
      </w:r>
      <w:r>
        <w:rPr>
          <w:rFonts w:hint="eastAsia" w:ascii="宋体" w:hAnsi="宋体" w:eastAsia="宋体" w:cs="宋体"/>
          <w:kern w:val="0"/>
          <w:sz w:val="28"/>
          <w:szCs w:val="28"/>
          <w:lang w:val="en-US" w:eastAsia="zh-CN"/>
        </w:rPr>
        <w:t>20</w:t>
      </w:r>
      <w:r>
        <w:rPr>
          <w:rFonts w:hint="eastAsia" w:ascii="宋体" w:hAnsi="宋体" w:eastAsia="宋体" w:cs="宋体"/>
          <w:kern w:val="0"/>
          <w:sz w:val="28"/>
          <w:szCs w:val="28"/>
        </w:rPr>
        <w:t>年，学校划拨给中心的教学运转费达68万元。</w:t>
      </w:r>
    </w:p>
    <w:p>
      <w:pPr>
        <w:widowControl/>
        <w:adjustRightInd w:val="0"/>
        <w:snapToGrid w:val="0"/>
        <w:spacing w:line="360" w:lineRule="auto"/>
        <w:ind w:firstLine="551" w:firstLineChars="196"/>
        <w:rPr>
          <w:rFonts w:hint="eastAsia" w:ascii="宋体" w:hAnsi="宋体" w:eastAsia="宋体" w:cs="宋体"/>
          <w:kern w:val="0"/>
          <w:sz w:val="28"/>
          <w:szCs w:val="28"/>
        </w:rPr>
      </w:pPr>
      <w:r>
        <w:rPr>
          <w:rFonts w:hint="eastAsia" w:ascii="宋体" w:hAnsi="宋体" w:eastAsia="宋体" w:cs="宋体"/>
          <w:b/>
          <w:kern w:val="0"/>
          <w:sz w:val="28"/>
          <w:szCs w:val="28"/>
        </w:rPr>
        <w:t>（</w:t>
      </w:r>
      <w:r>
        <w:rPr>
          <w:rFonts w:hint="eastAsia" w:ascii="宋体" w:hAnsi="宋体" w:eastAsia="宋体" w:cs="宋体"/>
          <w:b/>
          <w:kern w:val="0"/>
          <w:sz w:val="28"/>
          <w:szCs w:val="28"/>
          <w:lang w:eastAsia="zh-CN"/>
        </w:rPr>
        <w:t>四</w:t>
      </w:r>
      <w:r>
        <w:rPr>
          <w:rFonts w:hint="eastAsia" w:ascii="宋体" w:hAnsi="宋体" w:eastAsia="宋体" w:cs="宋体"/>
          <w:b/>
          <w:kern w:val="0"/>
          <w:sz w:val="28"/>
          <w:szCs w:val="28"/>
        </w:rPr>
        <w:t>）学校临床技能竞赛专项经费1</w:t>
      </w:r>
      <w:r>
        <w:rPr>
          <w:rFonts w:hint="eastAsia" w:ascii="宋体" w:hAnsi="宋体" w:eastAsia="宋体" w:cs="宋体"/>
          <w:b/>
          <w:kern w:val="0"/>
          <w:sz w:val="28"/>
          <w:szCs w:val="28"/>
          <w:lang w:val="en-US" w:eastAsia="zh-CN"/>
        </w:rPr>
        <w:t>5</w:t>
      </w:r>
      <w:r>
        <w:rPr>
          <w:rFonts w:hint="eastAsia" w:ascii="宋体" w:hAnsi="宋体" w:eastAsia="宋体" w:cs="宋体"/>
          <w:b/>
          <w:kern w:val="0"/>
          <w:sz w:val="28"/>
          <w:szCs w:val="28"/>
        </w:rPr>
        <w:t>万元。</w:t>
      </w:r>
      <w:r>
        <w:rPr>
          <w:rFonts w:hint="eastAsia" w:ascii="宋体" w:hAnsi="宋体" w:eastAsia="宋体" w:cs="宋体"/>
          <w:kern w:val="0"/>
          <w:sz w:val="28"/>
          <w:szCs w:val="28"/>
        </w:rPr>
        <w:t>20</w:t>
      </w:r>
      <w:r>
        <w:rPr>
          <w:rFonts w:hint="eastAsia" w:ascii="宋体" w:hAnsi="宋体" w:eastAsia="宋体" w:cs="宋体"/>
          <w:kern w:val="0"/>
          <w:sz w:val="28"/>
          <w:szCs w:val="28"/>
          <w:lang w:val="en-US" w:eastAsia="zh-CN"/>
        </w:rPr>
        <w:t>20</w:t>
      </w:r>
      <w:r>
        <w:rPr>
          <w:rFonts w:hint="eastAsia" w:ascii="宋体" w:hAnsi="宋体" w:eastAsia="宋体" w:cs="宋体"/>
          <w:kern w:val="0"/>
          <w:sz w:val="28"/>
          <w:szCs w:val="28"/>
        </w:rPr>
        <w:t>年，学校投入1</w:t>
      </w: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万元专项经费用于组织开展学校临床技能竞赛。</w:t>
      </w:r>
    </w:p>
    <w:p>
      <w:pPr>
        <w:widowControl/>
        <w:adjustRightInd w:val="0"/>
        <w:snapToGrid w:val="0"/>
        <w:spacing w:line="360" w:lineRule="auto"/>
        <w:ind w:firstLine="551" w:firstLineChars="196"/>
        <w:rPr>
          <w:rFonts w:hint="eastAsia" w:ascii="宋体" w:hAnsi="宋体" w:eastAsia="宋体" w:cs="宋体"/>
          <w:sz w:val="28"/>
          <w:szCs w:val="28"/>
        </w:rPr>
      </w:pPr>
      <w:r>
        <w:rPr>
          <w:rFonts w:hint="eastAsia" w:ascii="宋体" w:hAnsi="宋体" w:eastAsia="宋体" w:cs="宋体"/>
          <w:b/>
          <w:kern w:val="0"/>
          <w:sz w:val="28"/>
          <w:szCs w:val="28"/>
        </w:rPr>
        <w:t>（</w:t>
      </w:r>
      <w:r>
        <w:rPr>
          <w:rFonts w:hint="eastAsia" w:ascii="宋体" w:hAnsi="宋体" w:eastAsia="宋体" w:cs="宋体"/>
          <w:b/>
          <w:kern w:val="0"/>
          <w:sz w:val="28"/>
          <w:szCs w:val="28"/>
          <w:lang w:eastAsia="zh-CN"/>
        </w:rPr>
        <w:t>五</w:t>
      </w:r>
      <w:r>
        <w:rPr>
          <w:rFonts w:hint="eastAsia" w:ascii="宋体" w:hAnsi="宋体" w:eastAsia="宋体" w:cs="宋体"/>
          <w:b/>
          <w:kern w:val="0"/>
          <w:sz w:val="28"/>
          <w:szCs w:val="28"/>
        </w:rPr>
        <w:t>）云南省</w:t>
      </w:r>
      <w:r>
        <w:rPr>
          <w:rFonts w:hint="eastAsia" w:ascii="宋体" w:hAnsi="宋体" w:eastAsia="宋体" w:cs="宋体"/>
          <w:b/>
          <w:color w:val="000000"/>
          <w:sz w:val="28"/>
          <w:szCs w:val="28"/>
        </w:rPr>
        <w:t>医师资格实践技能考试专项经费</w:t>
      </w:r>
      <w:r>
        <w:rPr>
          <w:rFonts w:hint="eastAsia" w:ascii="宋体" w:hAnsi="宋体" w:eastAsia="宋体" w:cs="宋体"/>
          <w:b/>
          <w:color w:val="000000"/>
          <w:sz w:val="28"/>
          <w:szCs w:val="28"/>
          <w:lang w:val="en-US" w:eastAsia="zh-CN"/>
        </w:rPr>
        <w:t>79.21</w:t>
      </w:r>
      <w:r>
        <w:rPr>
          <w:rFonts w:hint="eastAsia" w:ascii="宋体" w:hAnsi="宋体" w:eastAsia="宋体" w:cs="宋体"/>
          <w:b/>
          <w:color w:val="000000"/>
          <w:sz w:val="28"/>
          <w:szCs w:val="28"/>
        </w:rPr>
        <w:t>万元</w:t>
      </w:r>
      <w:r>
        <w:rPr>
          <w:rFonts w:hint="eastAsia" w:ascii="宋体" w:hAnsi="宋体" w:eastAsia="宋体" w:cs="宋体"/>
          <w:b/>
          <w:kern w:val="0"/>
          <w:sz w:val="28"/>
          <w:szCs w:val="28"/>
        </w:rPr>
        <w:t>。</w:t>
      </w:r>
      <w:r>
        <w:rPr>
          <w:rFonts w:hint="eastAsia" w:ascii="宋体" w:hAnsi="宋体" w:eastAsia="宋体" w:cs="宋体"/>
          <w:kern w:val="0"/>
          <w:sz w:val="28"/>
          <w:szCs w:val="28"/>
        </w:rPr>
        <w:t>20</w:t>
      </w:r>
      <w:r>
        <w:rPr>
          <w:rFonts w:hint="eastAsia" w:ascii="宋体" w:hAnsi="宋体" w:eastAsia="宋体" w:cs="宋体"/>
          <w:kern w:val="0"/>
          <w:sz w:val="28"/>
          <w:szCs w:val="28"/>
          <w:lang w:val="en-US" w:eastAsia="zh-CN"/>
        </w:rPr>
        <w:t>20</w:t>
      </w:r>
      <w:r>
        <w:rPr>
          <w:rFonts w:hint="eastAsia" w:ascii="宋体" w:hAnsi="宋体" w:eastAsia="宋体" w:cs="宋体"/>
          <w:kern w:val="0"/>
          <w:sz w:val="28"/>
          <w:szCs w:val="28"/>
        </w:rPr>
        <w:t>年，中心组织完成云南省</w:t>
      </w:r>
      <w:r>
        <w:rPr>
          <w:rFonts w:hint="eastAsia" w:ascii="宋体" w:hAnsi="宋体" w:eastAsia="宋体" w:cs="宋体"/>
          <w:color w:val="000000"/>
          <w:sz w:val="28"/>
          <w:szCs w:val="28"/>
        </w:rPr>
        <w:t>医师资格实践技能考试，共获专项经费</w:t>
      </w:r>
      <w:r>
        <w:rPr>
          <w:rFonts w:hint="eastAsia" w:ascii="宋体" w:hAnsi="宋体" w:eastAsia="宋体" w:cs="宋体"/>
          <w:color w:val="000000"/>
          <w:sz w:val="28"/>
          <w:szCs w:val="28"/>
          <w:lang w:val="en-US" w:eastAsia="zh-CN"/>
        </w:rPr>
        <w:t>79.21</w:t>
      </w:r>
      <w:r>
        <w:rPr>
          <w:rFonts w:hint="eastAsia" w:ascii="宋体" w:hAnsi="宋体" w:eastAsia="宋体" w:cs="宋体"/>
          <w:color w:val="000000"/>
          <w:sz w:val="28"/>
          <w:szCs w:val="28"/>
        </w:rPr>
        <w:t>万元。</w:t>
      </w:r>
    </w:p>
    <w:p>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八、下一年发展思路</w:t>
      </w:r>
    </w:p>
    <w:p>
      <w:pPr>
        <w:adjustRightInd w:val="0"/>
        <w:snapToGrid w:val="0"/>
        <w:spacing w:line="360" w:lineRule="auto"/>
        <w:ind w:firstLine="562" w:firstLineChars="200"/>
        <w:rPr>
          <w:rFonts w:ascii="宋体" w:hAnsi="宋体"/>
          <w:sz w:val="28"/>
          <w:szCs w:val="28"/>
        </w:rPr>
      </w:pPr>
      <w:r>
        <w:rPr>
          <w:rFonts w:hint="eastAsia" w:ascii="宋体" w:hAnsi="宋体"/>
          <w:b/>
          <w:sz w:val="28"/>
          <w:szCs w:val="28"/>
        </w:rPr>
        <w:t>（一）</w:t>
      </w:r>
      <w:r>
        <w:rPr>
          <w:rFonts w:hint="eastAsia" w:ascii="宋体" w:hAnsi="宋体"/>
          <w:b/>
          <w:sz w:val="28"/>
          <w:szCs w:val="28"/>
          <w:lang w:eastAsia="zh-CN"/>
        </w:rPr>
        <w:t>推进虚拟仿真实验平台建设，增强示范辐射作用</w:t>
      </w:r>
    </w:p>
    <w:p>
      <w:pPr>
        <w:adjustRightInd w:val="0"/>
        <w:snapToGrid w:val="0"/>
        <w:spacing w:line="360" w:lineRule="auto"/>
        <w:ind w:firstLine="560" w:firstLineChars="200"/>
        <w:rPr>
          <w:rFonts w:ascii="宋体" w:hAnsi="宋体"/>
          <w:color w:val="auto"/>
          <w:sz w:val="28"/>
          <w:szCs w:val="28"/>
        </w:rPr>
      </w:pPr>
      <w:r>
        <w:rPr>
          <w:rFonts w:hint="eastAsia" w:ascii="宋体" w:hAnsi="宋体" w:cs="宋体"/>
          <w:color w:val="auto"/>
          <w:kern w:val="0"/>
          <w:sz w:val="28"/>
          <w:szCs w:val="28"/>
          <w:lang w:val="en-US" w:eastAsia="zh-CN"/>
        </w:rPr>
        <w:t>2020年，</w:t>
      </w:r>
      <w:r>
        <w:rPr>
          <w:rFonts w:hint="eastAsia" w:ascii="宋体" w:hAnsi="宋体" w:cs="宋体"/>
          <w:color w:val="auto"/>
          <w:kern w:val="0"/>
          <w:sz w:val="28"/>
          <w:szCs w:val="28"/>
        </w:rPr>
        <w:t>中心已完成了第</w:t>
      </w:r>
      <w:r>
        <w:rPr>
          <w:rFonts w:hint="eastAsia" w:ascii="宋体" w:hAnsi="宋体" w:cs="宋体"/>
          <w:color w:val="auto"/>
          <w:kern w:val="0"/>
          <w:sz w:val="28"/>
          <w:szCs w:val="28"/>
          <w:lang w:eastAsia="zh-CN"/>
        </w:rPr>
        <w:t>二</w:t>
      </w:r>
      <w:r>
        <w:rPr>
          <w:rFonts w:hint="eastAsia" w:ascii="宋体" w:hAnsi="宋体" w:cs="宋体"/>
          <w:color w:val="auto"/>
          <w:kern w:val="0"/>
          <w:sz w:val="28"/>
          <w:szCs w:val="28"/>
        </w:rPr>
        <w:t>期虚拟仿真项目</w:t>
      </w:r>
      <w:r>
        <w:rPr>
          <w:rFonts w:hint="eastAsia" w:ascii="宋体" w:hAnsi="宋体" w:cs="宋体"/>
          <w:color w:val="auto"/>
          <w:kern w:val="0"/>
          <w:sz w:val="28"/>
          <w:szCs w:val="28"/>
          <w:lang w:eastAsia="zh-CN"/>
        </w:rPr>
        <w:t>的建设工作</w:t>
      </w:r>
      <w:r>
        <w:rPr>
          <w:rFonts w:hint="eastAsia" w:ascii="宋体" w:hAnsi="宋体" w:cs="宋体"/>
          <w:color w:val="auto"/>
          <w:kern w:val="0"/>
          <w:sz w:val="28"/>
          <w:szCs w:val="28"/>
        </w:rPr>
        <w:t>，下一步</w:t>
      </w:r>
      <w:r>
        <w:rPr>
          <w:rFonts w:hint="eastAsia" w:ascii="宋体" w:hAnsi="宋体" w:cs="宋体"/>
          <w:color w:val="auto"/>
          <w:kern w:val="0"/>
          <w:sz w:val="28"/>
          <w:szCs w:val="28"/>
          <w:lang w:eastAsia="zh-CN"/>
        </w:rPr>
        <w:t>中心将</w:t>
      </w:r>
      <w:r>
        <w:rPr>
          <w:rFonts w:hint="eastAsia" w:ascii="宋体" w:hAnsi="宋体" w:cs="宋体"/>
          <w:color w:val="auto"/>
          <w:kern w:val="0"/>
          <w:sz w:val="28"/>
          <w:szCs w:val="28"/>
        </w:rPr>
        <w:t>继续推进</w:t>
      </w:r>
      <w:r>
        <w:rPr>
          <w:rFonts w:hint="eastAsia" w:ascii="宋体" w:hAnsi="宋体" w:cs="宋体"/>
          <w:color w:val="auto"/>
          <w:kern w:val="0"/>
          <w:sz w:val="28"/>
          <w:szCs w:val="28"/>
          <w:lang w:eastAsia="zh-CN"/>
        </w:rPr>
        <w:t>第三期</w:t>
      </w:r>
      <w:r>
        <w:rPr>
          <w:rFonts w:hint="eastAsia" w:ascii="宋体" w:hAnsi="宋体" w:cs="宋体"/>
          <w:color w:val="auto"/>
          <w:kern w:val="0"/>
          <w:sz w:val="28"/>
          <w:szCs w:val="28"/>
        </w:rPr>
        <w:t>拟仿真教学项目建设，同时，进一步强化</w:t>
      </w:r>
      <w:r>
        <w:rPr>
          <w:rFonts w:hint="eastAsia" w:ascii="宋体" w:hAnsi="宋体"/>
          <w:color w:val="auto"/>
          <w:sz w:val="28"/>
          <w:szCs w:val="28"/>
        </w:rPr>
        <w:t>课程教师团队和虚拟仿真课程教学建设等，为申报国家级虚拟仿真实验中心做好准</w:t>
      </w:r>
      <w:r>
        <w:rPr>
          <w:rFonts w:hint="eastAsia" w:ascii="宋体" w:hAnsi="宋体"/>
          <w:color w:val="auto"/>
          <w:sz w:val="28"/>
          <w:szCs w:val="28"/>
          <w:lang w:eastAsia="zh-CN"/>
        </w:rPr>
        <w:t>，进一步增强示范中心的辐射带动作用。</w:t>
      </w:r>
      <w:r>
        <w:rPr>
          <w:rFonts w:hint="eastAsia" w:ascii="宋体" w:hAnsi="宋体"/>
          <w:color w:val="auto"/>
          <w:sz w:val="28"/>
          <w:szCs w:val="28"/>
        </w:rPr>
        <w:t xml:space="preserve">  </w:t>
      </w:r>
    </w:p>
    <w:p>
      <w:pPr>
        <w:adjustRightInd w:val="0"/>
        <w:snapToGrid w:val="0"/>
        <w:spacing w:line="360" w:lineRule="auto"/>
        <w:ind w:firstLine="562" w:firstLineChars="200"/>
        <w:rPr>
          <w:rFonts w:ascii="宋体" w:hAnsi="宋体"/>
          <w:b/>
          <w:sz w:val="28"/>
          <w:szCs w:val="28"/>
        </w:rPr>
      </w:pPr>
      <w:r>
        <w:rPr>
          <w:rFonts w:hint="eastAsia" w:ascii="宋体" w:hAnsi="宋体"/>
          <w:b/>
          <w:sz w:val="28"/>
          <w:szCs w:val="28"/>
        </w:rPr>
        <w:t>（二）积极探索“三促”教学改革，推动中心的建设发展</w:t>
      </w:r>
    </w:p>
    <w:p>
      <w:pPr>
        <w:pStyle w:val="5"/>
        <w:adjustRightInd w:val="0"/>
        <w:snapToGrid w:val="0"/>
        <w:spacing w:before="0" w:beforeAutospacing="0" w:after="0" w:afterAutospacing="0" w:line="360" w:lineRule="auto"/>
        <w:ind w:firstLine="560" w:firstLineChars="200"/>
        <w:jc w:val="both"/>
        <w:rPr>
          <w:sz w:val="28"/>
          <w:szCs w:val="28"/>
        </w:rPr>
      </w:pPr>
      <w:r>
        <w:rPr>
          <w:rFonts w:hint="eastAsia"/>
          <w:sz w:val="28"/>
          <w:szCs w:val="28"/>
        </w:rPr>
        <w:t>积极探索“以项目促培养”“以联合促培养”“以赛事促培养”的多形式临床技能教学改革，依托学校医学学科的优势和特色，推进学科建设与人才培养的紧密结合、教学与科研的有机结合，将中心建设成为开放式的临床技能教学和服务平台，力争建设成为国家医学考试中心的实践技能考试基地，建设成为公益性的医学知识技能宣传平台，建设成为临床医学及其相关专业学生职业素质培养和课外学习的重要基地。</w:t>
      </w:r>
    </w:p>
    <w:p>
      <w:pPr>
        <w:adjustRightInd w:val="0"/>
        <w:snapToGrid w:val="0"/>
        <w:spacing w:line="360" w:lineRule="auto"/>
        <w:ind w:firstLine="562" w:firstLineChars="200"/>
        <w:rPr>
          <w:rFonts w:ascii="宋体" w:hAnsi="宋体"/>
          <w:b/>
          <w:sz w:val="28"/>
          <w:szCs w:val="28"/>
        </w:rPr>
      </w:pPr>
      <w:r>
        <w:rPr>
          <w:rFonts w:hint="eastAsia" w:ascii="宋体" w:hAnsi="宋体"/>
          <w:b/>
          <w:sz w:val="28"/>
          <w:szCs w:val="28"/>
        </w:rPr>
        <w:t>（三）扩大交流合作，进一步扩大中心的辐射影响力</w:t>
      </w:r>
    </w:p>
    <w:p>
      <w:pPr>
        <w:adjustRightInd w:val="0"/>
        <w:snapToGrid w:val="0"/>
        <w:spacing w:line="360" w:lineRule="auto"/>
        <w:ind w:firstLine="560" w:firstLineChars="200"/>
        <w:rPr>
          <w:rFonts w:ascii="楷体" w:hAnsi="楷体" w:eastAsia="楷体" w:cs="仿宋_GB2312"/>
          <w:sz w:val="28"/>
          <w:szCs w:val="28"/>
        </w:rPr>
      </w:pPr>
      <w:r>
        <w:rPr>
          <w:rFonts w:hint="eastAsia" w:ascii="宋体" w:hAnsi="宋体"/>
          <w:sz w:val="28"/>
          <w:szCs w:val="28"/>
        </w:rPr>
        <w:t>积极参与国内外</w:t>
      </w:r>
      <w:r>
        <w:rPr>
          <w:rFonts w:hint="eastAsia" w:ascii="宋体" w:hAnsi="宋体" w:cs="宋体"/>
          <w:bCs/>
          <w:sz w:val="28"/>
          <w:szCs w:val="28"/>
        </w:rPr>
        <w:t>医学模拟教学认证，</w:t>
      </w:r>
      <w:r>
        <w:rPr>
          <w:rFonts w:hint="eastAsia" w:ascii="宋体" w:hAnsi="宋体"/>
          <w:sz w:val="28"/>
          <w:szCs w:val="28"/>
        </w:rPr>
        <w:t>通过举办全国性的培训班和继续教育项目，进一步扩大中心的影响力，凸显国家级实验示范中心的引领辐射作用。</w:t>
      </w:r>
    </w:p>
    <w:p>
      <w:pPr>
        <w:ind w:firstLine="560" w:firstLineChars="200"/>
        <w:rPr>
          <w:rFonts w:ascii="黑体" w:hAnsi="黑体" w:eastAsia="黑体" w:cs="仿宋_GB2312"/>
          <w:sz w:val="28"/>
          <w:szCs w:val="28"/>
        </w:rPr>
      </w:pPr>
      <w:r>
        <w:rPr>
          <w:rFonts w:hint="eastAsia" w:ascii="黑体" w:hAnsi="黑体" w:eastAsia="黑体" w:cs="仿宋_GB2312"/>
          <w:sz w:val="28"/>
          <w:szCs w:val="28"/>
        </w:rPr>
        <w:t>注意事项及说明：</w:t>
      </w:r>
    </w:p>
    <w:p>
      <w:pPr>
        <w:ind w:firstLine="560" w:firstLineChars="200"/>
        <w:rPr>
          <w:rFonts w:ascii="楷体" w:hAnsi="楷体" w:eastAsia="楷体" w:cs="仿宋_GB2312"/>
          <w:sz w:val="28"/>
          <w:szCs w:val="28"/>
        </w:rPr>
      </w:pPr>
      <w:r>
        <w:rPr>
          <w:rFonts w:hint="eastAsia" w:ascii="楷体" w:hAnsi="楷体" w:eastAsia="楷体" w:cs="仿宋_GB2312"/>
          <w:sz w:val="28"/>
          <w:szCs w:val="28"/>
        </w:rPr>
        <w:t>1.文中内容与后面示范中心数据相对应，必须客观真实，避免使用“国内领先”“国际一流”等词。</w:t>
      </w:r>
    </w:p>
    <w:p>
      <w:pPr>
        <w:ind w:firstLine="560" w:firstLineChars="200"/>
        <w:rPr>
          <w:rFonts w:ascii="楷体" w:hAnsi="楷体" w:eastAsia="楷体" w:cs="仿宋_GB2312"/>
          <w:color w:val="44546A" w:themeColor="text2"/>
          <w:sz w:val="28"/>
          <w:szCs w:val="28"/>
        </w:rPr>
      </w:pPr>
      <w:r>
        <w:rPr>
          <w:rFonts w:hint="eastAsia" w:ascii="楷体" w:hAnsi="楷体" w:eastAsia="楷体" w:cs="仿宋_GB2312"/>
          <w:color w:val="44546A" w:themeColor="text2"/>
          <w:sz w:val="28"/>
          <w:szCs w:val="28"/>
        </w:rPr>
        <w:t>2.文中介绍的成果必须带有</w:t>
      </w:r>
      <w:r>
        <w:rPr>
          <w:rFonts w:hint="eastAsia" w:ascii="楷体" w:hAnsi="楷体" w:eastAsia="楷体" w:cs="仿宋_GB2312"/>
          <w:color w:val="FF0000"/>
          <w:sz w:val="28"/>
          <w:szCs w:val="28"/>
        </w:rPr>
        <w:t>示范中心成员</w:t>
      </w:r>
      <w:r>
        <w:rPr>
          <w:rFonts w:hint="eastAsia" w:ascii="楷体" w:hAnsi="楷体" w:eastAsia="楷体" w:cs="仿宋_GB2312"/>
          <w:color w:val="44546A" w:themeColor="text2"/>
          <w:sz w:val="28"/>
          <w:szCs w:val="28"/>
        </w:rPr>
        <w:t>的署名。</w:t>
      </w:r>
    </w:p>
    <w:p>
      <w:pPr>
        <w:ind w:firstLine="560" w:firstLineChars="200"/>
        <w:rPr>
          <w:rFonts w:ascii="楷体" w:hAnsi="楷体" w:eastAsia="楷体" w:cs="仿宋_GB2312"/>
          <w:sz w:val="28"/>
          <w:szCs w:val="28"/>
        </w:rPr>
      </w:pPr>
      <w:r>
        <w:rPr>
          <w:rFonts w:hint="eastAsia" w:ascii="楷体" w:hAnsi="楷体" w:eastAsia="楷体" w:cs="仿宋_GB2312"/>
          <w:sz w:val="28"/>
          <w:szCs w:val="28"/>
        </w:rPr>
        <w:t>3.年度报告的表格行数可据实调整，不设附件，请做好相关成果支撑材料的存档工作。</w:t>
      </w:r>
    </w:p>
    <w:p>
      <w:pPr>
        <w:ind w:firstLine="560" w:firstLineChars="200"/>
        <w:rPr>
          <w:rFonts w:ascii="仿宋" w:hAnsi="仿宋" w:eastAsia="仿宋" w:cs="仿宋_GB2312"/>
          <w:sz w:val="32"/>
          <w:szCs w:val="32"/>
        </w:rPr>
      </w:pPr>
      <w:r>
        <w:rPr>
          <w:rFonts w:ascii="楷体" w:eastAsia="楷体" w:cs="楷体"/>
          <w:color w:val="FF0000"/>
          <w:kern w:val="0"/>
          <w:sz w:val="28"/>
          <w:szCs w:val="28"/>
          <w:lang w:val="zh-CN"/>
        </w:rPr>
        <w:t>4.</w:t>
      </w:r>
      <w:r>
        <w:rPr>
          <w:rFonts w:hint="eastAsia" w:ascii="楷体" w:hAnsi="楷体" w:eastAsia="楷体" w:cs="仿宋_GB2312"/>
          <w:color w:val="FF0000"/>
          <w:sz w:val="28"/>
          <w:szCs w:val="28"/>
        </w:rPr>
        <w:t>模板中涂红色部分较上年度有变化，请填写时注意。</w:t>
      </w:r>
    </w:p>
    <w:p>
      <w:pPr>
        <w:spacing w:line="360" w:lineRule="auto"/>
        <w:jc w:val="center"/>
        <w:rPr>
          <w:rFonts w:hint="eastAsia" w:ascii="黑体" w:hAnsi="黑体" w:eastAsia="黑体" w:cs="仿宋_GB2312"/>
          <w:b/>
          <w:bCs/>
          <w:w w:val="90"/>
          <w:sz w:val="32"/>
          <w:szCs w:val="32"/>
        </w:rPr>
      </w:pPr>
    </w:p>
    <w:p>
      <w:pPr>
        <w:spacing w:line="360" w:lineRule="auto"/>
        <w:jc w:val="center"/>
        <w:rPr>
          <w:rFonts w:hint="eastAsia" w:ascii="黑体" w:hAnsi="黑体" w:eastAsia="黑体" w:cs="仿宋_GB2312"/>
          <w:b/>
          <w:bCs/>
          <w:w w:val="90"/>
          <w:sz w:val="32"/>
          <w:szCs w:val="32"/>
        </w:rPr>
      </w:pPr>
    </w:p>
    <w:p>
      <w:pPr>
        <w:spacing w:line="360" w:lineRule="auto"/>
        <w:jc w:val="center"/>
        <w:rPr>
          <w:rFonts w:ascii="黑体" w:hAnsi="黑体" w:eastAsia="黑体"/>
          <w:b/>
          <w:bCs/>
          <w:w w:val="90"/>
          <w:sz w:val="32"/>
          <w:szCs w:val="32"/>
        </w:rPr>
      </w:pPr>
      <w:r>
        <w:rPr>
          <w:rFonts w:hint="eastAsia" w:ascii="黑体" w:hAnsi="黑体" w:eastAsia="黑体" w:cs="仿宋_GB2312"/>
          <w:b/>
          <w:bCs/>
          <w:w w:val="90"/>
          <w:sz w:val="32"/>
          <w:szCs w:val="32"/>
        </w:rPr>
        <w:t>第二部分</w:t>
      </w:r>
      <w:r>
        <w:rPr>
          <w:rFonts w:hint="eastAsia" w:ascii="黑体" w:hAnsi="黑体" w:eastAsia="黑体"/>
          <w:b/>
          <w:bCs/>
          <w:w w:val="90"/>
          <w:sz w:val="32"/>
          <w:szCs w:val="32"/>
        </w:rPr>
        <w:t xml:space="preserve"> 示范中心数据</w:t>
      </w:r>
    </w:p>
    <w:p>
      <w:pPr>
        <w:spacing w:line="360" w:lineRule="auto"/>
        <w:jc w:val="center"/>
        <w:rPr>
          <w:rFonts w:ascii="楷体" w:hAnsi="楷体" w:eastAsia="楷体" w:cs="仿宋_GB2312"/>
          <w:b/>
          <w:bCs/>
          <w:w w:val="90"/>
          <w:sz w:val="28"/>
          <w:szCs w:val="28"/>
        </w:rPr>
      </w:pPr>
      <w:r>
        <w:rPr>
          <w:rFonts w:hint="eastAsia" w:ascii="楷体" w:hAnsi="楷体" w:eastAsia="楷体" w:cs="仿宋_GB2312"/>
          <w:b/>
          <w:bCs/>
          <w:w w:val="90"/>
          <w:sz w:val="28"/>
          <w:szCs w:val="28"/>
        </w:rPr>
        <w:t>（</w:t>
      </w:r>
      <w:r>
        <w:rPr>
          <w:rFonts w:hint="eastAsia" w:ascii="楷体" w:hAnsi="楷体" w:eastAsia="楷体" w:cs="仿宋_GB2312"/>
          <w:w w:val="90"/>
          <w:sz w:val="28"/>
          <w:szCs w:val="28"/>
        </w:rPr>
        <w:t>数据采集时间为</w:t>
      </w:r>
      <w:r>
        <w:rPr>
          <w:rFonts w:hint="eastAsia" w:ascii="楷体" w:hAnsi="楷体" w:eastAsia="楷体"/>
          <w:color w:val="FF0000"/>
          <w:w w:val="90"/>
          <w:sz w:val="28"/>
          <w:szCs w:val="28"/>
        </w:rPr>
        <w:t xml:space="preserve"> </w:t>
      </w:r>
      <w:r>
        <w:rPr>
          <w:rFonts w:hint="eastAsia" w:ascii="楷体" w:hAnsi="楷体" w:eastAsia="楷体"/>
          <w:w w:val="90"/>
          <w:sz w:val="28"/>
          <w:szCs w:val="28"/>
        </w:rPr>
        <w:t>20</w:t>
      </w:r>
      <w:r>
        <w:rPr>
          <w:rFonts w:hint="eastAsia" w:ascii="楷体" w:hAnsi="楷体" w:eastAsia="楷体"/>
          <w:w w:val="90"/>
          <w:sz w:val="28"/>
          <w:szCs w:val="28"/>
          <w:lang w:val="en-US" w:eastAsia="zh-CN"/>
        </w:rPr>
        <w:t>20</w:t>
      </w:r>
      <w:r>
        <w:rPr>
          <w:rFonts w:hint="eastAsia" w:ascii="楷体" w:hAnsi="楷体" w:eastAsia="楷体"/>
          <w:w w:val="90"/>
          <w:sz w:val="28"/>
          <w:szCs w:val="28"/>
        </w:rPr>
        <w:t>年1</w:t>
      </w:r>
      <w:r>
        <w:rPr>
          <w:rFonts w:hint="eastAsia" w:ascii="楷体" w:hAnsi="楷体" w:eastAsia="楷体" w:cs="仿宋_GB2312"/>
          <w:w w:val="90"/>
          <w:sz w:val="28"/>
          <w:szCs w:val="28"/>
        </w:rPr>
        <w:t>月</w:t>
      </w:r>
      <w:r>
        <w:rPr>
          <w:rFonts w:hint="eastAsia" w:ascii="楷体" w:hAnsi="楷体" w:eastAsia="楷体"/>
          <w:w w:val="90"/>
          <w:sz w:val="28"/>
          <w:szCs w:val="28"/>
        </w:rPr>
        <w:t>1</w:t>
      </w:r>
      <w:r>
        <w:rPr>
          <w:rFonts w:hint="eastAsia" w:ascii="楷体" w:hAnsi="楷体" w:eastAsia="楷体" w:cs="仿宋_GB2312"/>
          <w:w w:val="90"/>
          <w:sz w:val="28"/>
          <w:szCs w:val="28"/>
        </w:rPr>
        <w:t>日至</w:t>
      </w:r>
      <w:r>
        <w:rPr>
          <w:rFonts w:hint="eastAsia" w:ascii="楷体" w:hAnsi="楷体" w:eastAsia="楷体"/>
          <w:w w:val="90"/>
          <w:sz w:val="28"/>
          <w:szCs w:val="28"/>
        </w:rPr>
        <w:t>12</w:t>
      </w:r>
      <w:r>
        <w:rPr>
          <w:rFonts w:hint="eastAsia" w:ascii="楷体" w:hAnsi="楷体" w:eastAsia="楷体" w:cs="仿宋_GB2312"/>
          <w:w w:val="90"/>
          <w:sz w:val="28"/>
          <w:szCs w:val="28"/>
        </w:rPr>
        <w:t>月</w:t>
      </w:r>
      <w:r>
        <w:rPr>
          <w:rFonts w:hint="eastAsia" w:ascii="楷体" w:hAnsi="楷体" w:eastAsia="楷体"/>
          <w:w w:val="90"/>
          <w:sz w:val="28"/>
          <w:szCs w:val="28"/>
        </w:rPr>
        <w:t>31</w:t>
      </w:r>
      <w:r>
        <w:rPr>
          <w:rFonts w:hint="eastAsia" w:ascii="楷体" w:hAnsi="楷体" w:eastAsia="楷体" w:cs="仿宋_GB2312"/>
          <w:w w:val="90"/>
          <w:sz w:val="28"/>
          <w:szCs w:val="28"/>
        </w:rPr>
        <w:t>日</w:t>
      </w:r>
      <w:r>
        <w:rPr>
          <w:rFonts w:hint="eastAsia" w:ascii="楷体" w:hAnsi="楷体" w:eastAsia="楷体" w:cs="仿宋_GB2312"/>
          <w:b/>
          <w:bCs/>
          <w:w w:val="90"/>
          <w:sz w:val="28"/>
          <w:szCs w:val="28"/>
        </w:rPr>
        <w:t>）</w:t>
      </w:r>
    </w:p>
    <w:p>
      <w:pPr>
        <w:spacing w:before="163" w:after="163" w:line="360" w:lineRule="auto"/>
        <w:ind w:firstLine="643" w:firstLineChars="200"/>
        <w:rPr>
          <w:rFonts w:ascii="黑体" w:hAnsi="黑体" w:eastAsia="黑体"/>
          <w:b/>
          <w:bCs/>
          <w:sz w:val="32"/>
          <w:szCs w:val="32"/>
        </w:rPr>
      </w:pPr>
      <w:r>
        <w:rPr>
          <w:rFonts w:hint="eastAsia" w:ascii="黑体" w:hAnsi="黑体" w:eastAsia="黑体"/>
          <w:b/>
          <w:bCs/>
          <w:sz w:val="32"/>
          <w:szCs w:val="32"/>
        </w:rPr>
        <w:t>一、示范中心基本情况</w:t>
      </w:r>
    </w:p>
    <w:tbl>
      <w:tblPr>
        <w:tblStyle w:val="6"/>
        <w:tblW w:w="85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097"/>
        <w:gridCol w:w="513"/>
        <w:gridCol w:w="905"/>
        <w:gridCol w:w="214"/>
        <w:gridCol w:w="1529"/>
        <w:gridCol w:w="1516"/>
        <w:gridCol w:w="13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5"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示范中心名称</w:t>
            </w:r>
          </w:p>
        </w:tc>
        <w:tc>
          <w:tcPr>
            <w:tcW w:w="6001" w:type="dxa"/>
            <w:gridSpan w:val="6"/>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Times New Roman"/>
                <w:sz w:val="28"/>
                <w:szCs w:val="28"/>
              </w:rPr>
              <w:t>临床技能实验教学中心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5"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所在学校名称</w:t>
            </w:r>
          </w:p>
        </w:tc>
        <w:tc>
          <w:tcPr>
            <w:tcW w:w="6001" w:type="dxa"/>
            <w:gridSpan w:val="6"/>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Times New Roman"/>
                <w:sz w:val="28"/>
                <w:szCs w:val="28"/>
              </w:rPr>
              <w:t>昆明医科大学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5"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主管部门名称</w:t>
            </w:r>
          </w:p>
        </w:tc>
        <w:tc>
          <w:tcPr>
            <w:tcW w:w="6001" w:type="dxa"/>
            <w:gridSpan w:val="6"/>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Times New Roman"/>
                <w:sz w:val="28"/>
                <w:szCs w:val="28"/>
              </w:rPr>
              <w:t>云南省教育厅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5"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示范中心门户网址</w:t>
            </w:r>
          </w:p>
        </w:tc>
        <w:tc>
          <w:tcPr>
            <w:tcW w:w="6001" w:type="dxa"/>
            <w:gridSpan w:val="6"/>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黑体" w:hAnsi="黑体" w:eastAsia="黑体" w:cs="Times New Roman"/>
                <w:sz w:val="28"/>
                <w:szCs w:val="28"/>
              </w:rPr>
            </w:pPr>
            <w:r>
              <w:rPr>
                <w:rFonts w:hint="eastAsia" w:ascii="黑体" w:hAnsi="黑体" w:eastAsia="黑体" w:cs="Times New Roman"/>
                <w:sz w:val="28"/>
                <w:szCs w:val="28"/>
              </w:rPr>
              <w:t>http:</w:t>
            </w:r>
            <w:r>
              <w:rPr>
                <w:rFonts w:hint="eastAsia" w:ascii="宋体" w:hAnsi="宋体" w:eastAsia="宋体" w:cs="宋体"/>
                <w:sz w:val="28"/>
                <w:szCs w:val="28"/>
              </w:rPr>
              <w:t>//</w:t>
            </w:r>
            <w:r>
              <w:rPr>
                <w:rFonts w:hint="eastAsia" w:ascii="黑体" w:hAnsi="黑体" w:eastAsia="黑体" w:cs="黑体"/>
                <w:sz w:val="28"/>
                <w:szCs w:val="28"/>
              </w:rPr>
              <w:t>www.kmmc.cn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5"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示范中心详细地址</w:t>
            </w:r>
          </w:p>
        </w:tc>
        <w:tc>
          <w:tcPr>
            <w:tcW w:w="3161" w:type="dxa"/>
            <w:gridSpan w:val="4"/>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黑体" w:hAnsi="黑体" w:eastAsia="黑体" w:cs="Times New Roman"/>
                <w:sz w:val="28"/>
                <w:szCs w:val="28"/>
              </w:rPr>
            </w:pPr>
            <w:r>
              <w:rPr>
                <w:rFonts w:hint="eastAsia" w:ascii="黑体" w:hAnsi="黑体" w:eastAsia="黑体" w:cs="Times New Roman"/>
                <w:sz w:val="28"/>
                <w:szCs w:val="28"/>
              </w:rPr>
              <w:t>云南省昆明呈贡雨花街道春融西路1168号</w:t>
            </w:r>
          </w:p>
        </w:tc>
        <w:tc>
          <w:tcPr>
            <w:tcW w:w="1516"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邮政编码</w:t>
            </w:r>
          </w:p>
        </w:tc>
        <w:tc>
          <w:tcPr>
            <w:tcW w:w="1324"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Times New Roman"/>
                <w:sz w:val="28"/>
                <w:szCs w:val="28"/>
              </w:rPr>
              <w:t>650500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5"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固定资产情况</w:t>
            </w:r>
          </w:p>
        </w:tc>
        <w:tc>
          <w:tcPr>
            <w:tcW w:w="6001" w:type="dxa"/>
            <w:gridSpan w:val="6"/>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黑体" w:hAnsi="黑体" w:eastAsia="黑体" w:cs="Times New Roman"/>
                <w:sz w:val="28"/>
                <w:szCs w:val="28"/>
              </w:rPr>
            </w:pPr>
            <w:r>
              <w:rPr>
                <w:rFonts w:hint="eastAsia" w:ascii="黑体" w:hAnsi="黑体" w:eastAsia="黑体" w:cs="Times New Roman"/>
                <w:sz w:val="28"/>
                <w:szCs w:val="28"/>
                <w:lang w:val="en-US" w:eastAsia="zh-CN"/>
              </w:rPr>
              <w:t>8460</w:t>
            </w:r>
            <w:r>
              <w:rPr>
                <w:rFonts w:hint="eastAsia" w:ascii="黑体" w:hAnsi="黑体" w:eastAsia="黑体" w:cs="Times New Roman"/>
                <w:sz w:val="28"/>
                <w:szCs w:val="28"/>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黑体" w:hAnsi="黑体" w:eastAsia="黑体" w:cs="Times New Roman"/>
                <w:sz w:val="28"/>
                <w:szCs w:val="28"/>
              </w:rPr>
            </w:pPr>
            <w:r>
              <w:rPr>
                <w:rFonts w:hint="eastAsia" w:ascii="黑体" w:hAnsi="黑体" w:eastAsia="黑体" w:cs="黑体"/>
                <w:sz w:val="28"/>
                <w:szCs w:val="28"/>
              </w:rPr>
              <w:t>建筑面积</w:t>
            </w:r>
          </w:p>
        </w:tc>
        <w:tc>
          <w:tcPr>
            <w:tcW w:w="109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 w:hAnsi="??" w:eastAsia="Times New Roman" w:cs="Times New Roman"/>
                <w:sz w:val="28"/>
                <w:szCs w:val="28"/>
              </w:rPr>
            </w:pPr>
            <w:r>
              <w:rPr>
                <w:rFonts w:hint="eastAsia" w:ascii="黑体" w:hAnsi="黑体" w:eastAsia="黑体" w:cs="黑体"/>
                <w:sz w:val="21"/>
                <w:szCs w:val="21"/>
              </w:rPr>
              <w:t>11909</w:t>
            </w:r>
            <w:r>
              <w:rPr>
                <w:rFonts w:ascii="黑体" w:hAnsi="黑体" w:eastAsia="黑体" w:cs="黑体"/>
                <w:sz w:val="21"/>
                <w:szCs w:val="21"/>
              </w:rPr>
              <w:t xml:space="preserve"> </w:t>
            </w:r>
            <w:r>
              <w:rPr>
                <w:rFonts w:hint="eastAsia" w:ascii="宋体" w:hAnsi="宋体" w:cs="宋体"/>
                <w:sz w:val="21"/>
                <w:szCs w:val="21"/>
              </w:rPr>
              <w:t>㎡</w:t>
            </w:r>
          </w:p>
        </w:tc>
        <w:tc>
          <w:tcPr>
            <w:tcW w:w="1418"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黑体" w:hAnsi="黑体" w:eastAsia="黑体" w:cs="Times New Roman"/>
                <w:sz w:val="28"/>
                <w:szCs w:val="28"/>
              </w:rPr>
            </w:pPr>
            <w:r>
              <w:rPr>
                <w:rFonts w:hint="eastAsia" w:ascii="黑体" w:hAnsi="黑体" w:eastAsia="黑体" w:cs="黑体"/>
                <w:sz w:val="28"/>
                <w:szCs w:val="28"/>
              </w:rPr>
              <w:t>设备总值</w:t>
            </w:r>
          </w:p>
        </w:tc>
        <w:tc>
          <w:tcPr>
            <w:tcW w:w="1743"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 w:hAnsi="??" w:eastAsia="Times New Roman" w:cs="Times New Roman"/>
                <w:sz w:val="28"/>
                <w:szCs w:val="28"/>
              </w:rPr>
            </w:pPr>
            <w:r>
              <w:rPr>
                <w:rFonts w:ascii="黑体" w:hAnsi="黑体" w:eastAsia="黑体" w:cs="黑体"/>
                <w:sz w:val="28"/>
                <w:szCs w:val="28"/>
              </w:rPr>
              <w:t xml:space="preserve">  </w:t>
            </w:r>
            <w:r>
              <w:rPr>
                <w:rFonts w:hint="eastAsia" w:ascii="黑体" w:hAnsi="黑体" w:eastAsia="黑体" w:cs="黑体"/>
                <w:sz w:val="28"/>
                <w:szCs w:val="28"/>
              </w:rPr>
              <w:t>5330</w:t>
            </w:r>
            <w:r>
              <w:rPr>
                <w:rFonts w:hint="eastAsia" w:ascii="宋体" w:hAnsi="宋体" w:cs="宋体"/>
                <w:sz w:val="28"/>
                <w:szCs w:val="28"/>
              </w:rPr>
              <w:t>万元</w:t>
            </w:r>
          </w:p>
        </w:tc>
        <w:tc>
          <w:tcPr>
            <w:tcW w:w="1516"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黑体" w:hAnsi="黑体" w:eastAsia="黑体" w:cs="Times New Roman"/>
                <w:sz w:val="28"/>
                <w:szCs w:val="28"/>
              </w:rPr>
            </w:pPr>
            <w:r>
              <w:rPr>
                <w:rFonts w:hint="eastAsia" w:ascii="黑体" w:hAnsi="黑体" w:eastAsia="黑体" w:cs="黑体"/>
                <w:sz w:val="28"/>
                <w:szCs w:val="28"/>
              </w:rPr>
              <w:t>设备台数</w:t>
            </w:r>
          </w:p>
        </w:tc>
        <w:tc>
          <w:tcPr>
            <w:tcW w:w="132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 w:hAnsi="??" w:eastAsia="Times New Roman" w:cs="Times New Roman"/>
                <w:sz w:val="28"/>
                <w:szCs w:val="28"/>
              </w:rPr>
            </w:pPr>
            <w:r>
              <w:rPr>
                <w:rFonts w:hint="eastAsia" w:ascii="黑体" w:hAnsi="黑体" w:eastAsia="黑体" w:cs="黑体"/>
                <w:sz w:val="28"/>
                <w:szCs w:val="28"/>
              </w:rPr>
              <w:t>2009</w:t>
            </w:r>
            <w:r>
              <w:rPr>
                <w:rFonts w:hint="eastAsia" w:ascii="宋体" w:hAnsi="宋体" w:cs="宋体"/>
                <w:sz w:val="28"/>
                <w:szCs w:val="28"/>
              </w:rPr>
              <w:t>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5" w:type="dxa"/>
            <w:gridSpan w:val="2"/>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经费投入情况</w:t>
            </w:r>
          </w:p>
        </w:tc>
        <w:tc>
          <w:tcPr>
            <w:tcW w:w="6001" w:type="dxa"/>
            <w:gridSpan w:val="6"/>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rPr>
                <w:rFonts w:ascii="黑体" w:hAnsi="黑体" w:eastAsia="黑体" w:cs="Times New Roman"/>
                <w:sz w:val="28"/>
                <w:szCs w:val="28"/>
              </w:rPr>
            </w:pPr>
            <w:r>
              <w:rPr>
                <w:rFonts w:hint="eastAsia" w:ascii="黑体" w:hAnsi="黑体" w:eastAsia="黑体" w:cs="Times New Roman"/>
                <w:sz w:val="28"/>
                <w:szCs w:val="28"/>
                <w:lang w:val="en-US" w:eastAsia="zh-CN"/>
              </w:rPr>
              <w:t>407.73</w:t>
            </w:r>
            <w:r>
              <w:rPr>
                <w:rFonts w:hint="eastAsia" w:ascii="黑体" w:hAnsi="黑体" w:eastAsia="黑体" w:cs="Times New Roman"/>
                <w:sz w:val="28"/>
                <w:szCs w:val="28"/>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28" w:type="dxa"/>
            <w:gridSpan w:val="3"/>
            <w:tcBorders>
              <w:top w:val="single" w:color="000000" w:sz="4" w:space="0"/>
              <w:left w:val="single" w:color="000000" w:sz="4" w:space="0"/>
              <w:bottom w:val="single" w:color="000000" w:sz="4" w:space="0"/>
              <w:right w:val="single" w:color="auto" w:sz="4" w:space="0"/>
            </w:tcBorders>
            <w:vAlign w:val="center"/>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主管部门年度经费投入</w:t>
            </w:r>
          </w:p>
          <w:p>
            <w:pPr>
              <w:adjustRightInd w:val="0"/>
              <w:snapToGrid w:val="0"/>
              <w:spacing w:line="400" w:lineRule="exact"/>
              <w:jc w:val="center"/>
              <w:rPr>
                <w:rFonts w:ascii="??" w:hAnsi="??" w:eastAsia="Times New Roman" w:cs="Times New Roman"/>
              </w:rPr>
            </w:pPr>
            <w:r>
              <w:rPr>
                <w:rFonts w:hint="eastAsia" w:ascii="宋体" w:hAnsi="宋体" w:cs="宋体"/>
              </w:rPr>
              <w:t>（直属高校不填）</w:t>
            </w:r>
          </w:p>
        </w:tc>
        <w:tc>
          <w:tcPr>
            <w:tcW w:w="1119" w:type="dxa"/>
            <w:gridSpan w:val="2"/>
            <w:tcBorders>
              <w:top w:val="single" w:color="000000" w:sz="4" w:space="0"/>
              <w:left w:val="single" w:color="auto" w:sz="4" w:space="0"/>
              <w:bottom w:val="single" w:color="000000" w:sz="4" w:space="0"/>
              <w:right w:val="single" w:color="000000" w:sz="4" w:space="0"/>
            </w:tcBorders>
            <w:vAlign w:val="center"/>
          </w:tcPr>
          <w:p>
            <w:pPr>
              <w:adjustRightInd w:val="0"/>
              <w:snapToGrid w:val="0"/>
              <w:spacing w:line="400" w:lineRule="exact"/>
              <w:rPr>
                <w:rFonts w:ascii="??" w:hAnsi="??" w:eastAsia="Times New Roman" w:cs="Times New Roman"/>
                <w:sz w:val="28"/>
                <w:szCs w:val="28"/>
              </w:rPr>
            </w:pPr>
            <w:r>
              <w:rPr>
                <w:rFonts w:hint="eastAsia" w:ascii="黑体" w:hAnsi="黑体" w:eastAsia="黑体" w:cs="Times New Roman"/>
                <w:sz w:val="28"/>
                <w:szCs w:val="28"/>
                <w:lang w:val="en-US" w:eastAsia="zh-CN"/>
              </w:rPr>
              <w:t>204.73</w:t>
            </w:r>
            <w:r>
              <w:rPr>
                <w:rFonts w:hint="eastAsia" w:ascii="黑体" w:hAnsi="黑体" w:eastAsia="黑体" w:cs="Times New Roman"/>
                <w:sz w:val="28"/>
                <w:szCs w:val="28"/>
              </w:rPr>
              <w:t>万元</w:t>
            </w:r>
          </w:p>
        </w:tc>
        <w:tc>
          <w:tcPr>
            <w:tcW w:w="3045" w:type="dxa"/>
            <w:gridSpan w:val="2"/>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sz w:val="28"/>
                <w:szCs w:val="28"/>
              </w:rPr>
            </w:pPr>
            <w:r>
              <w:rPr>
                <w:rFonts w:hint="eastAsia" w:ascii="黑体" w:hAnsi="黑体" w:eastAsia="黑体" w:cs="黑体"/>
                <w:sz w:val="28"/>
                <w:szCs w:val="28"/>
              </w:rPr>
              <w:t>所在学校年度经费投入</w:t>
            </w:r>
          </w:p>
        </w:tc>
        <w:tc>
          <w:tcPr>
            <w:tcW w:w="132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rPr>
                <w:rFonts w:ascii="??" w:hAnsi="??" w:eastAsia="Times New Roman" w:cs="Times New Roman"/>
                <w:sz w:val="28"/>
                <w:szCs w:val="28"/>
              </w:rPr>
            </w:pPr>
            <w:r>
              <w:rPr>
                <w:rFonts w:hint="eastAsia" w:ascii="黑体" w:hAnsi="黑体" w:eastAsia="黑体" w:cs="Times New Roman"/>
                <w:sz w:val="28"/>
                <w:szCs w:val="28"/>
                <w:lang w:val="en-US" w:eastAsia="zh-CN"/>
              </w:rPr>
              <w:t>203</w:t>
            </w:r>
            <w:r>
              <w:rPr>
                <w:rFonts w:hint="eastAsia" w:ascii="黑体" w:hAnsi="黑体" w:eastAsia="黑体" w:cs="Times New Roman"/>
                <w:sz w:val="28"/>
                <w:szCs w:val="28"/>
              </w:rPr>
              <w:t>万元</w:t>
            </w:r>
          </w:p>
        </w:tc>
      </w:tr>
    </w:tbl>
    <w:p>
      <w:pPr>
        <w:ind w:firstLine="470" w:firstLineChars="196"/>
        <w:rPr>
          <w:rFonts w:ascii="楷体" w:hAnsi="楷体" w:eastAsia="楷体"/>
          <w:bCs/>
        </w:rPr>
      </w:pPr>
      <w:r>
        <w:rPr>
          <w:rFonts w:hint="eastAsia" w:ascii="楷体" w:hAnsi="楷体" w:eastAsia="楷体"/>
          <w:bCs/>
        </w:rPr>
        <w:t>注：（1）表中所有名称都必须填写全称。（2）主管部门：所在学校的上级主管部门，可查询教育部发展规划司全国高等学校名单。</w:t>
      </w:r>
    </w:p>
    <w:p>
      <w:pPr>
        <w:spacing w:line="360" w:lineRule="auto"/>
        <w:ind w:firstLine="630" w:firstLineChars="196"/>
        <w:rPr>
          <w:rFonts w:ascii="黑体" w:hAnsi="黑体" w:eastAsia="黑体" w:cs="仿宋_GB2312"/>
          <w:b/>
          <w:bCs/>
          <w:sz w:val="32"/>
          <w:szCs w:val="32"/>
        </w:rPr>
      </w:pPr>
      <w:r>
        <w:rPr>
          <w:rFonts w:hint="eastAsia" w:ascii="黑体" w:hAnsi="黑体" w:eastAsia="黑体" w:cs="仿宋_GB2312"/>
          <w:b/>
          <w:bCs/>
          <w:sz w:val="32"/>
          <w:szCs w:val="32"/>
        </w:rPr>
        <w:t>二、人才队伍基本情况</w:t>
      </w:r>
    </w:p>
    <w:p>
      <w:pPr>
        <w:spacing w:before="163" w:after="163" w:line="360" w:lineRule="auto"/>
        <w:ind w:firstLine="560" w:firstLineChars="200"/>
        <w:rPr>
          <w:rFonts w:ascii="黑体" w:hAnsi="黑体" w:eastAsia="黑体" w:cs="仿宋_GB2312"/>
          <w:bCs/>
          <w:sz w:val="28"/>
          <w:szCs w:val="28"/>
        </w:rPr>
      </w:pPr>
      <w:r>
        <w:rPr>
          <w:rFonts w:hint="eastAsia" w:ascii="黑体" w:hAnsi="黑体" w:eastAsia="黑体"/>
          <w:bCs/>
          <w:sz w:val="28"/>
          <w:szCs w:val="28"/>
        </w:rPr>
        <w:t>（一）本年度</w:t>
      </w:r>
      <w:r>
        <w:rPr>
          <w:rFonts w:hint="eastAsia" w:ascii="黑体" w:hAnsi="黑体" w:eastAsia="黑体" w:cs="仿宋_GB2312"/>
          <w:bCs/>
          <w:sz w:val="28"/>
          <w:szCs w:val="28"/>
        </w:rPr>
        <w:t>固定人员情况</w:t>
      </w:r>
    </w:p>
    <w:tbl>
      <w:tblPr>
        <w:tblStyle w:val="6"/>
        <w:tblW w:w="8364" w:type="dxa"/>
        <w:tblInd w:w="0" w:type="dxa"/>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1065"/>
        <w:gridCol w:w="780"/>
        <w:gridCol w:w="975"/>
        <w:gridCol w:w="855"/>
        <w:gridCol w:w="1530"/>
        <w:gridCol w:w="1170"/>
        <w:gridCol w:w="780"/>
        <w:gridCol w:w="641"/>
      </w:tblGrid>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8" w:type="dxa"/>
            <w:tcBorders>
              <w:top w:val="single" w:color="auto" w:sz="12"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序号</w:t>
            </w:r>
          </w:p>
        </w:tc>
        <w:tc>
          <w:tcPr>
            <w:tcW w:w="1065" w:type="dxa"/>
            <w:tcBorders>
              <w:top w:val="single" w:color="auto" w:sz="12"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姓名</w:t>
            </w:r>
          </w:p>
        </w:tc>
        <w:tc>
          <w:tcPr>
            <w:tcW w:w="780" w:type="dxa"/>
            <w:tcBorders>
              <w:top w:val="single" w:color="auto" w:sz="12"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性别</w:t>
            </w:r>
          </w:p>
        </w:tc>
        <w:tc>
          <w:tcPr>
            <w:tcW w:w="975" w:type="dxa"/>
            <w:tcBorders>
              <w:top w:val="single" w:color="auto" w:sz="12"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黑体"/>
              </w:rPr>
            </w:pPr>
            <w:r>
              <w:rPr>
                <w:rFonts w:hint="eastAsia" w:ascii="黑体" w:hAnsi="黑体" w:eastAsia="黑体" w:cs="黑体"/>
              </w:rPr>
              <w:t>出生</w:t>
            </w:r>
          </w:p>
          <w:p>
            <w:pPr>
              <w:adjustRightInd w:val="0"/>
              <w:snapToGrid w:val="0"/>
              <w:spacing w:line="400" w:lineRule="exact"/>
              <w:jc w:val="center"/>
              <w:rPr>
                <w:rFonts w:ascii="黑体" w:hAnsi="黑体" w:eastAsia="黑体" w:cs="Times New Roman"/>
              </w:rPr>
            </w:pPr>
            <w:r>
              <w:rPr>
                <w:rFonts w:hint="eastAsia" w:ascii="黑体" w:hAnsi="黑体" w:eastAsia="黑体" w:cs="黑体"/>
              </w:rPr>
              <w:t>年份</w:t>
            </w:r>
          </w:p>
        </w:tc>
        <w:tc>
          <w:tcPr>
            <w:tcW w:w="855" w:type="dxa"/>
            <w:tcBorders>
              <w:top w:val="single" w:color="auto" w:sz="12"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职称</w:t>
            </w:r>
          </w:p>
        </w:tc>
        <w:tc>
          <w:tcPr>
            <w:tcW w:w="1530" w:type="dxa"/>
            <w:tcBorders>
              <w:top w:val="single" w:color="auto" w:sz="12"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职务</w:t>
            </w:r>
          </w:p>
        </w:tc>
        <w:tc>
          <w:tcPr>
            <w:tcW w:w="1170" w:type="dxa"/>
            <w:tcBorders>
              <w:top w:val="single" w:color="auto" w:sz="12"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工作性质</w:t>
            </w:r>
          </w:p>
        </w:tc>
        <w:tc>
          <w:tcPr>
            <w:tcW w:w="780" w:type="dxa"/>
            <w:tcBorders>
              <w:top w:val="single" w:color="auto" w:sz="12" w:space="0"/>
              <w:left w:val="single" w:color="auto" w:sz="4" w:space="0"/>
              <w:bottom w:val="single" w:color="auto" w:sz="6" w:space="0"/>
              <w:right w:val="single" w:color="auto"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学位</w:t>
            </w:r>
          </w:p>
        </w:tc>
        <w:tc>
          <w:tcPr>
            <w:tcW w:w="641" w:type="dxa"/>
            <w:tcBorders>
              <w:top w:val="single" w:color="auto" w:sz="12"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备注</w:t>
            </w: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杨玉萍</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1961</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教授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主任</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管理、教学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学士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杨晖</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1980</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讲师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副主任</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管理、教学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3</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段艳萍</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1971</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其他副高级</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教研室</w:t>
            </w:r>
          </w:p>
          <w:p>
            <w:pPr>
              <w:adjustRightInd w:val="0"/>
              <w:snapToGrid w:val="0"/>
              <w:spacing w:line="400" w:lineRule="exact"/>
              <w:jc w:val="center"/>
              <w:rPr>
                <w:rFonts w:ascii="楷体" w:hAnsi="楷体" w:eastAsia="楷体" w:cs="楷体"/>
              </w:rPr>
            </w:pPr>
            <w:r>
              <w:rPr>
                <w:rFonts w:hint="eastAsia" w:ascii="楷体" w:hAnsi="楷体" w:eastAsia="楷体" w:cs="楷体"/>
              </w:rPr>
              <w:t>主任</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4</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高波</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1968</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副教授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教研室</w:t>
            </w:r>
          </w:p>
          <w:p>
            <w:pPr>
              <w:adjustRightInd w:val="0"/>
              <w:snapToGrid w:val="0"/>
              <w:spacing w:line="400" w:lineRule="exact"/>
              <w:jc w:val="center"/>
              <w:rPr>
                <w:rFonts w:ascii="楷体" w:hAnsi="楷体" w:eastAsia="楷体" w:cs="楷体"/>
              </w:rPr>
            </w:pPr>
            <w:r>
              <w:rPr>
                <w:rFonts w:hint="eastAsia" w:ascii="楷体" w:hAnsi="楷体" w:eastAsia="楷体" w:cs="楷体"/>
              </w:rPr>
              <w:t>主任</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学士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5</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孙桂芳</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1969</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其他中级</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教研室</w:t>
            </w:r>
          </w:p>
          <w:p>
            <w:pPr>
              <w:adjustRightInd w:val="0"/>
              <w:snapToGrid w:val="0"/>
              <w:spacing w:line="400" w:lineRule="exact"/>
              <w:jc w:val="center"/>
              <w:rPr>
                <w:rFonts w:ascii="楷体" w:hAnsi="楷体" w:eastAsia="楷体" w:cs="楷体"/>
              </w:rPr>
            </w:pPr>
            <w:r>
              <w:rPr>
                <w:rFonts w:hint="eastAsia" w:ascii="楷体" w:hAnsi="楷体" w:eastAsia="楷体" w:cs="楷体"/>
              </w:rPr>
              <w:t>主任</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学士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6</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段红艳</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1974</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讲师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教学秘书</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7</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寸碧芸</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1981</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讲师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博士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8</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陈丽玲</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1974</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其他副高级</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党支部委员</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博士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9</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郭峰</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男</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1983</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讲师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10</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陶芸</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1977</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讲师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党支部书记</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11</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肖忠高</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男</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1963</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讲师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12</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杨蕴芝</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1988</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助教</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13</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郭艳</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1981</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助教</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14</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罗宁</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1990</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助教</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党支部委员</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15</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王宇帆</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1971</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讲师</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学士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16</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姚璐</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1988</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其他初级</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资产秘书</w:t>
            </w: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学士</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17</w:t>
            </w:r>
          </w:p>
        </w:tc>
        <w:tc>
          <w:tcPr>
            <w:tcW w:w="106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王玉坚</w:t>
            </w:r>
          </w:p>
        </w:tc>
        <w:tc>
          <w:tcPr>
            <w:tcW w:w="78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男</w:t>
            </w:r>
          </w:p>
        </w:tc>
        <w:tc>
          <w:tcPr>
            <w:tcW w:w="97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1963</w:t>
            </w:r>
          </w:p>
        </w:tc>
        <w:tc>
          <w:tcPr>
            <w:tcW w:w="85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其他中级</w:t>
            </w:r>
          </w:p>
        </w:tc>
        <w:tc>
          <w:tcPr>
            <w:tcW w:w="153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17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教学</w:t>
            </w:r>
          </w:p>
        </w:tc>
        <w:tc>
          <w:tcPr>
            <w:tcW w:w="780"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其它</w:t>
            </w:r>
          </w:p>
        </w:tc>
        <w:tc>
          <w:tcPr>
            <w:tcW w:w="641"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568" w:type="dxa"/>
            <w:tcBorders>
              <w:top w:val="single" w:color="auto" w:sz="6" w:space="0"/>
              <w:left w:val="single" w:color="auto" w:sz="6" w:space="0"/>
              <w:bottom w:val="single" w:color="auto" w:sz="4"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18</w:t>
            </w:r>
          </w:p>
        </w:tc>
        <w:tc>
          <w:tcPr>
            <w:tcW w:w="1065" w:type="dxa"/>
            <w:tcBorders>
              <w:top w:val="single" w:color="auto" w:sz="6" w:space="0"/>
              <w:left w:val="single" w:color="auto" w:sz="6" w:space="0"/>
              <w:bottom w:val="single" w:color="auto" w:sz="4"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崔乐乐</w:t>
            </w:r>
          </w:p>
        </w:tc>
        <w:tc>
          <w:tcPr>
            <w:tcW w:w="780" w:type="dxa"/>
            <w:tcBorders>
              <w:top w:val="single" w:color="auto" w:sz="6" w:space="0"/>
              <w:left w:val="single" w:color="auto" w:sz="6" w:space="0"/>
              <w:bottom w:val="single" w:color="auto" w:sz="4"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女</w:t>
            </w:r>
          </w:p>
        </w:tc>
        <w:tc>
          <w:tcPr>
            <w:tcW w:w="975" w:type="dxa"/>
            <w:tcBorders>
              <w:top w:val="single" w:color="auto" w:sz="6" w:space="0"/>
              <w:left w:val="single" w:color="auto" w:sz="6" w:space="0"/>
              <w:bottom w:val="single" w:color="auto" w:sz="4"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1985</w:t>
            </w:r>
          </w:p>
        </w:tc>
        <w:tc>
          <w:tcPr>
            <w:tcW w:w="855" w:type="dxa"/>
            <w:tcBorders>
              <w:top w:val="single" w:color="auto" w:sz="6" w:space="0"/>
              <w:left w:val="single" w:color="auto" w:sz="6" w:space="0"/>
              <w:bottom w:val="single" w:color="auto" w:sz="4"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其他中级</w:t>
            </w:r>
          </w:p>
        </w:tc>
        <w:tc>
          <w:tcPr>
            <w:tcW w:w="1530" w:type="dxa"/>
            <w:tcBorders>
              <w:top w:val="single" w:color="auto" w:sz="6" w:space="0"/>
              <w:left w:val="single" w:color="auto" w:sz="6" w:space="0"/>
              <w:bottom w:val="single" w:color="auto" w:sz="4"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行政秘书</w:t>
            </w:r>
          </w:p>
        </w:tc>
        <w:tc>
          <w:tcPr>
            <w:tcW w:w="1170" w:type="dxa"/>
            <w:tcBorders>
              <w:top w:val="single" w:color="auto" w:sz="6" w:space="0"/>
              <w:left w:val="single" w:color="auto" w:sz="6" w:space="0"/>
              <w:bottom w:val="single" w:color="auto" w:sz="4"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管理</w:t>
            </w:r>
          </w:p>
        </w:tc>
        <w:tc>
          <w:tcPr>
            <w:tcW w:w="780" w:type="dxa"/>
            <w:tcBorders>
              <w:top w:val="single" w:color="auto" w:sz="6"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rPr>
            </w:pPr>
            <w:r>
              <w:rPr>
                <w:rFonts w:hint="eastAsia" w:ascii="楷体" w:hAnsi="楷体" w:eastAsia="楷体" w:cs="楷体"/>
                <w:color w:val="000000"/>
                <w:kern w:val="0"/>
                <w:lang w:bidi="ar"/>
              </w:rPr>
              <w:t>硕士</w:t>
            </w:r>
          </w:p>
        </w:tc>
        <w:tc>
          <w:tcPr>
            <w:tcW w:w="641" w:type="dxa"/>
            <w:tcBorders>
              <w:top w:val="single" w:color="auto" w:sz="6" w:space="0"/>
              <w:left w:val="single" w:color="auto" w:sz="4" w:space="0"/>
              <w:bottom w:val="single" w:color="auto" w:sz="4" w:space="0"/>
              <w:right w:val="single" w:color="auto" w:sz="6" w:space="0"/>
            </w:tcBorders>
            <w:vAlign w:val="center"/>
          </w:tcPr>
          <w:p>
            <w:pPr>
              <w:adjustRightInd w:val="0"/>
              <w:snapToGrid w:val="0"/>
              <w:spacing w:line="400" w:lineRule="exact"/>
              <w:jc w:val="center"/>
              <w:rPr>
                <w:rFonts w:ascii="楷体" w:hAnsi="楷体" w:eastAsia="楷体" w:cs="楷体"/>
              </w:rPr>
            </w:pPr>
          </w:p>
        </w:tc>
      </w:tr>
    </w:tbl>
    <w:p>
      <w:pPr>
        <w:spacing w:before="163" w:beforeLines="50"/>
        <w:ind w:firstLine="480" w:firstLineChars="200"/>
        <w:rPr>
          <w:rFonts w:ascii="楷体" w:hAnsi="楷体" w:eastAsia="楷体"/>
          <w:color w:val="44546A" w:themeColor="text2"/>
        </w:rPr>
      </w:pPr>
      <w:r>
        <w:rPr>
          <w:rFonts w:hint="eastAsia" w:ascii="楷体" w:hAnsi="楷体" w:eastAsia="楷体" w:cs="仿宋_GB2312"/>
          <w:bCs/>
        </w:rPr>
        <w:t>注：（1）固定人员：</w:t>
      </w:r>
      <w:r>
        <w:rPr>
          <w:rFonts w:hint="eastAsia" w:ascii="楷体" w:hAnsi="楷体" w:eastAsia="楷体" w:cs="仿宋_GB2312"/>
        </w:rPr>
        <w:t>指经过核定的属于示范中心编制的人员。（2）</w:t>
      </w:r>
      <w:r>
        <w:rPr>
          <w:rFonts w:hint="eastAsia" w:ascii="楷体" w:hAnsi="楷体" w:eastAsia="楷体" w:cs="宋体"/>
          <w:bCs/>
        </w:rPr>
        <w:t>示范中心职务：</w:t>
      </w:r>
      <w:r>
        <w:rPr>
          <w:rFonts w:hint="eastAsia" w:ascii="楷体" w:hAnsi="楷体" w:eastAsia="楷体"/>
        </w:rPr>
        <w:t>示范中心主任、副主任。（3）</w:t>
      </w:r>
      <w:r>
        <w:rPr>
          <w:rFonts w:hint="eastAsia" w:ascii="楷体" w:hAnsi="楷体" w:eastAsia="楷体" w:cs="宋体"/>
          <w:bCs/>
        </w:rPr>
        <w:t>工</w:t>
      </w:r>
      <w:r>
        <w:rPr>
          <w:rFonts w:hint="eastAsia" w:ascii="楷体" w:hAnsi="楷体" w:eastAsia="楷体" w:cs="宋体"/>
          <w:bCs/>
          <w:color w:val="44546A" w:themeColor="text2"/>
        </w:rPr>
        <w:t>作性质：</w:t>
      </w:r>
      <w:r>
        <w:rPr>
          <w:rFonts w:hint="eastAsia" w:ascii="楷体" w:hAnsi="楷体" w:eastAsia="楷体"/>
          <w:color w:val="44546A" w:themeColor="text2"/>
        </w:rPr>
        <w:t>教学、技术、管理、其他。（4）</w:t>
      </w:r>
      <w:r>
        <w:rPr>
          <w:rFonts w:ascii="楷体" w:hAnsi="楷体" w:eastAsia="楷体" w:cs="宋体"/>
          <w:bCs/>
          <w:color w:val="44546A" w:themeColor="text2"/>
        </w:rPr>
        <w:t>学位：</w:t>
      </w:r>
      <w:r>
        <w:rPr>
          <w:rFonts w:ascii="楷体" w:hAnsi="楷体" w:eastAsia="楷体"/>
          <w:color w:val="44546A" w:themeColor="text2"/>
        </w:rPr>
        <w:t>博士、硕士、学士、其</w:t>
      </w:r>
      <w:r>
        <w:rPr>
          <w:rFonts w:hint="eastAsia" w:ascii="楷体" w:hAnsi="楷体" w:eastAsia="楷体"/>
          <w:color w:val="44546A" w:themeColor="text2"/>
        </w:rPr>
        <w:t>他</w:t>
      </w:r>
      <w:r>
        <w:rPr>
          <w:rFonts w:ascii="楷体" w:hAnsi="楷体" w:eastAsia="楷体"/>
          <w:color w:val="44546A" w:themeColor="text2"/>
        </w:rPr>
        <w:t>，一般以学位证书为准</w:t>
      </w:r>
      <w:r>
        <w:rPr>
          <w:rFonts w:hint="eastAsia" w:ascii="楷体" w:hAnsi="楷体" w:eastAsia="楷体"/>
          <w:color w:val="44546A" w:themeColor="text2"/>
        </w:rPr>
        <w:t>。（5）</w:t>
      </w:r>
      <w:r>
        <w:rPr>
          <w:rFonts w:hint="eastAsia" w:ascii="楷体" w:hAnsi="楷体" w:eastAsia="楷体"/>
          <w:bCs/>
          <w:color w:val="44546A" w:themeColor="text2"/>
        </w:rPr>
        <w:t>备注：</w:t>
      </w:r>
      <w:r>
        <w:rPr>
          <w:rFonts w:hint="eastAsia" w:ascii="楷体" w:hAnsi="楷体" w:eastAsia="楷体"/>
          <w:color w:val="44546A" w:themeColor="text2"/>
        </w:rPr>
        <w:t>是否院士、博士生导师、杰出青年基金获得者、长江学者等，获得时间。</w:t>
      </w:r>
    </w:p>
    <w:p>
      <w:pPr>
        <w:spacing w:before="163" w:beforeLines="50" w:after="163" w:afterLines="50"/>
        <w:ind w:firstLine="560" w:firstLineChars="200"/>
        <w:rPr>
          <w:rFonts w:ascii="黑体" w:hAnsi="黑体" w:eastAsia="黑体" w:cs="仿宋_GB2312"/>
          <w:bCs/>
          <w:sz w:val="28"/>
          <w:szCs w:val="28"/>
        </w:rPr>
      </w:pPr>
      <w:r>
        <w:rPr>
          <w:rFonts w:hint="eastAsia" w:ascii="黑体" w:hAnsi="黑体" w:eastAsia="黑体"/>
          <w:bCs/>
          <w:sz w:val="28"/>
          <w:szCs w:val="28"/>
        </w:rPr>
        <w:t>（二）本年度</w:t>
      </w:r>
      <w:r>
        <w:rPr>
          <w:rFonts w:hint="eastAsia" w:ascii="黑体" w:hAnsi="黑体" w:eastAsia="黑体" w:cs="仿宋_GB2312"/>
          <w:bCs/>
          <w:sz w:val="28"/>
          <w:szCs w:val="28"/>
        </w:rPr>
        <w:t>兼职人员情况</w:t>
      </w:r>
    </w:p>
    <w:tbl>
      <w:tblPr>
        <w:tblStyle w:val="6"/>
        <w:tblW w:w="8364" w:type="dxa"/>
        <w:tblInd w:w="108" w:type="dxa"/>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709"/>
        <w:gridCol w:w="709"/>
        <w:gridCol w:w="1275"/>
        <w:gridCol w:w="709"/>
        <w:gridCol w:w="1134"/>
        <w:gridCol w:w="1276"/>
        <w:gridCol w:w="850"/>
        <w:gridCol w:w="993"/>
      </w:tblGrid>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9" w:hRule="atLeast"/>
        </w:trPr>
        <w:tc>
          <w:tcPr>
            <w:tcW w:w="709"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序号</w:t>
            </w:r>
          </w:p>
        </w:tc>
        <w:tc>
          <w:tcPr>
            <w:tcW w:w="709"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姓名</w:t>
            </w:r>
          </w:p>
        </w:tc>
        <w:tc>
          <w:tcPr>
            <w:tcW w:w="709"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性别</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出生年份</w:t>
            </w:r>
          </w:p>
        </w:tc>
        <w:tc>
          <w:tcPr>
            <w:tcW w:w="709"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职称</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职务</w:t>
            </w: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工作性质</w:t>
            </w:r>
          </w:p>
        </w:tc>
        <w:tc>
          <w:tcPr>
            <w:tcW w:w="850" w:type="dxa"/>
            <w:tcBorders>
              <w:top w:val="single" w:color="auto" w:sz="6" w:space="0"/>
              <w:left w:val="single" w:color="auto" w:sz="4" w:space="0"/>
              <w:bottom w:val="single" w:color="auto" w:sz="6" w:space="0"/>
              <w:right w:val="single" w:color="auto" w:sz="4" w:space="0"/>
            </w:tcBorders>
            <w:vAlign w:val="center"/>
          </w:tcPr>
          <w:p>
            <w:pPr>
              <w:jc w:val="center"/>
              <w:rPr>
                <w:rFonts w:ascii="黑体" w:hAnsi="黑体" w:eastAsia="黑体" w:cs="宋体"/>
              </w:rPr>
            </w:pPr>
            <w:r>
              <w:rPr>
                <w:rFonts w:hint="eastAsia" w:ascii="黑体" w:hAnsi="黑体" w:eastAsia="黑体" w:cs="宋体"/>
              </w:rPr>
              <w:t>学位</w:t>
            </w:r>
          </w:p>
        </w:tc>
        <w:tc>
          <w:tcPr>
            <w:tcW w:w="993" w:type="dxa"/>
            <w:tcBorders>
              <w:top w:val="single" w:color="auto" w:sz="6" w:space="0"/>
              <w:left w:val="single" w:color="auto" w:sz="4"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备注</w:t>
            </w: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楷体" w:hAnsi="楷体" w:eastAsia="楷体"/>
              </w:rPr>
            </w:pPr>
            <w:r>
              <w:rPr>
                <w:rFonts w:hint="eastAsia" w:ascii="楷体" w:hAnsi="楷体" w:eastAsia="楷体"/>
              </w:rPr>
              <w:t>1</w:t>
            </w: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134"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850" w:type="dxa"/>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 w:hAnsi="仿宋" w:eastAsia="仿宋"/>
                <w:sz w:val="28"/>
                <w:szCs w:val="28"/>
              </w:rPr>
            </w:pPr>
          </w:p>
        </w:tc>
        <w:tc>
          <w:tcPr>
            <w:tcW w:w="993" w:type="dxa"/>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楷体" w:hAnsi="楷体" w:eastAsia="楷体"/>
              </w:rPr>
            </w:pPr>
            <w:r>
              <w:rPr>
                <w:rFonts w:hint="eastAsia" w:ascii="楷体" w:hAnsi="楷体" w:eastAsia="楷体"/>
              </w:rPr>
              <w:t>2</w:t>
            </w: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134"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850" w:type="dxa"/>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 w:hAnsi="仿宋" w:eastAsia="仿宋"/>
                <w:sz w:val="28"/>
                <w:szCs w:val="28"/>
              </w:rPr>
            </w:pPr>
          </w:p>
        </w:tc>
        <w:tc>
          <w:tcPr>
            <w:tcW w:w="993" w:type="dxa"/>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楷体" w:hAnsi="楷体" w:eastAsia="楷体"/>
              </w:rPr>
            </w:pPr>
            <w:r>
              <w:rPr>
                <w:rFonts w:ascii="楷体" w:hAnsi="楷体" w:eastAsia="楷体"/>
              </w:rPr>
              <w:t>…</w:t>
            </w: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134"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850" w:type="dxa"/>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 w:hAnsi="仿宋" w:eastAsia="仿宋"/>
                <w:sz w:val="28"/>
                <w:szCs w:val="28"/>
              </w:rPr>
            </w:pPr>
          </w:p>
        </w:tc>
        <w:tc>
          <w:tcPr>
            <w:tcW w:w="993" w:type="dxa"/>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r>
    </w:tbl>
    <w:p>
      <w:pPr>
        <w:spacing w:before="163" w:beforeLines="50"/>
        <w:ind w:firstLine="480" w:firstLineChars="200"/>
        <w:rPr>
          <w:rFonts w:ascii="楷体" w:hAnsi="楷体" w:eastAsia="楷体"/>
        </w:rPr>
      </w:pPr>
      <w:r>
        <w:rPr>
          <w:rFonts w:hint="eastAsia" w:ascii="楷体" w:hAnsi="楷体" w:eastAsia="楷体" w:cs="仿宋_GB2312"/>
          <w:bCs/>
        </w:rPr>
        <w:t>注：（1）兼职人员：</w:t>
      </w:r>
      <w:r>
        <w:rPr>
          <w:rFonts w:hint="eastAsia" w:ascii="楷体" w:hAnsi="楷体" w:eastAsia="楷体" w:cs="仿宋_GB2312"/>
        </w:rPr>
        <w:t>指在示范中心内承担教学、技术、管理工作的非中心编制人员。</w:t>
      </w:r>
      <w:r>
        <w:rPr>
          <w:rFonts w:hint="eastAsia" w:ascii="楷体" w:hAnsi="楷体" w:eastAsia="楷体"/>
        </w:rPr>
        <w:t>（2）</w:t>
      </w:r>
      <w:r>
        <w:rPr>
          <w:rFonts w:hint="eastAsia" w:ascii="楷体" w:hAnsi="楷体" w:eastAsia="楷体" w:cs="宋体"/>
          <w:bCs/>
        </w:rPr>
        <w:t>工作性质：</w:t>
      </w:r>
      <w:r>
        <w:rPr>
          <w:rFonts w:hint="eastAsia" w:ascii="楷体" w:hAnsi="楷体" w:eastAsia="楷体" w:cs="仿宋_GB2312"/>
          <w:bCs/>
        </w:rPr>
        <w:t>教学、技术、管理、其他。</w:t>
      </w:r>
      <w:r>
        <w:rPr>
          <w:rFonts w:hint="eastAsia" w:ascii="楷体" w:hAnsi="楷体" w:eastAsia="楷体"/>
        </w:rPr>
        <w:t>（3）</w:t>
      </w:r>
      <w:r>
        <w:rPr>
          <w:rFonts w:ascii="楷体" w:hAnsi="楷体" w:eastAsia="楷体" w:cs="宋体"/>
          <w:bCs/>
        </w:rPr>
        <w:t>学位：</w:t>
      </w:r>
      <w:r>
        <w:rPr>
          <w:rFonts w:ascii="楷体" w:hAnsi="楷体" w:eastAsia="楷体"/>
        </w:rPr>
        <w:t>博士、硕士、学士、其</w:t>
      </w:r>
      <w:r>
        <w:rPr>
          <w:rFonts w:hint="eastAsia" w:ascii="楷体" w:hAnsi="楷体" w:eastAsia="楷体"/>
        </w:rPr>
        <w:t>他</w:t>
      </w:r>
      <w:r>
        <w:rPr>
          <w:rFonts w:ascii="楷体" w:hAnsi="楷体" w:eastAsia="楷体"/>
        </w:rPr>
        <w:t>，一般以学位证书为准</w:t>
      </w:r>
      <w:r>
        <w:rPr>
          <w:rFonts w:hint="eastAsia" w:ascii="楷体" w:hAnsi="楷体" w:eastAsia="楷体"/>
        </w:rPr>
        <w:t>。（4）</w:t>
      </w:r>
      <w:r>
        <w:rPr>
          <w:rFonts w:hint="eastAsia" w:ascii="楷体" w:hAnsi="楷体" w:eastAsia="楷体"/>
          <w:bCs/>
        </w:rPr>
        <w:t>备注：</w:t>
      </w:r>
      <w:r>
        <w:rPr>
          <w:rFonts w:hint="eastAsia" w:ascii="楷体" w:hAnsi="楷体" w:eastAsia="楷体"/>
        </w:rPr>
        <w:t>是否院士、博士生导师、杰出青年基金获得者、长江学者等，获得时间。</w:t>
      </w:r>
    </w:p>
    <w:p>
      <w:pPr>
        <w:spacing w:before="163" w:after="163" w:line="360" w:lineRule="auto"/>
        <w:ind w:firstLine="560" w:firstLineChars="200"/>
        <w:rPr>
          <w:rFonts w:ascii="黑体" w:hAnsi="黑体" w:eastAsia="黑体"/>
          <w:sz w:val="28"/>
          <w:szCs w:val="28"/>
        </w:rPr>
      </w:pPr>
      <w:r>
        <w:rPr>
          <w:rFonts w:hint="eastAsia" w:ascii="黑体" w:hAnsi="黑体" w:eastAsia="黑体"/>
          <w:sz w:val="28"/>
          <w:szCs w:val="28"/>
        </w:rPr>
        <w:t>（三）本年度流动人员情况</w:t>
      </w:r>
    </w:p>
    <w:tbl>
      <w:tblPr>
        <w:tblStyle w:val="6"/>
        <w:tblW w:w="5000" w:type="pct"/>
        <w:tblInd w:w="0" w:type="dxa"/>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69"/>
        <w:gridCol w:w="769"/>
        <w:gridCol w:w="770"/>
        <w:gridCol w:w="1300"/>
        <w:gridCol w:w="770"/>
        <w:gridCol w:w="770"/>
        <w:gridCol w:w="1300"/>
        <w:gridCol w:w="770"/>
        <w:gridCol w:w="1298"/>
      </w:tblGrid>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452" w:type="pct"/>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序号</w:t>
            </w:r>
          </w:p>
        </w:tc>
        <w:tc>
          <w:tcPr>
            <w:tcW w:w="452" w:type="pct"/>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姓名</w:t>
            </w:r>
          </w:p>
        </w:tc>
        <w:tc>
          <w:tcPr>
            <w:tcW w:w="452" w:type="pct"/>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性别</w:t>
            </w:r>
          </w:p>
        </w:tc>
        <w:tc>
          <w:tcPr>
            <w:tcW w:w="763" w:type="pct"/>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出生年份</w:t>
            </w:r>
          </w:p>
        </w:tc>
        <w:tc>
          <w:tcPr>
            <w:tcW w:w="452" w:type="pct"/>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职称</w:t>
            </w:r>
          </w:p>
        </w:tc>
        <w:tc>
          <w:tcPr>
            <w:tcW w:w="452" w:type="pct"/>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国别</w:t>
            </w:r>
          </w:p>
        </w:tc>
        <w:tc>
          <w:tcPr>
            <w:tcW w:w="763" w:type="pct"/>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工作单位</w:t>
            </w:r>
          </w:p>
        </w:tc>
        <w:tc>
          <w:tcPr>
            <w:tcW w:w="452" w:type="pct"/>
            <w:tcBorders>
              <w:top w:val="single" w:color="auto" w:sz="6" w:space="0"/>
              <w:left w:val="single" w:color="auto" w:sz="4" w:space="0"/>
              <w:bottom w:val="single" w:color="auto" w:sz="6" w:space="0"/>
              <w:right w:val="single" w:color="auto" w:sz="4" w:space="0"/>
            </w:tcBorders>
            <w:vAlign w:val="center"/>
          </w:tcPr>
          <w:p>
            <w:pPr>
              <w:jc w:val="center"/>
              <w:rPr>
                <w:rFonts w:ascii="黑体" w:hAnsi="黑体" w:eastAsia="黑体" w:cs="宋体"/>
              </w:rPr>
            </w:pPr>
            <w:r>
              <w:rPr>
                <w:rFonts w:hint="eastAsia" w:ascii="黑体" w:hAnsi="黑体" w:eastAsia="黑体" w:cs="宋体"/>
              </w:rPr>
              <w:t>类型</w:t>
            </w:r>
          </w:p>
        </w:tc>
        <w:tc>
          <w:tcPr>
            <w:tcW w:w="763" w:type="pct"/>
            <w:tcBorders>
              <w:top w:val="single" w:color="auto" w:sz="6" w:space="0"/>
              <w:left w:val="single" w:color="auto" w:sz="4" w:space="0"/>
              <w:bottom w:val="single" w:color="auto" w:sz="6" w:space="0"/>
              <w:right w:val="single" w:color="auto" w:sz="6" w:space="0"/>
            </w:tcBorders>
            <w:vAlign w:val="center"/>
          </w:tcPr>
          <w:p>
            <w:pPr>
              <w:jc w:val="center"/>
              <w:rPr>
                <w:rFonts w:ascii="黑体" w:hAnsi="黑体" w:eastAsia="黑体" w:cs="宋体"/>
              </w:rPr>
            </w:pPr>
            <w:r>
              <w:rPr>
                <w:rFonts w:hint="eastAsia" w:ascii="黑体" w:hAnsi="黑体" w:eastAsia="黑体" w:cs="宋体"/>
              </w:rPr>
              <w:t>工作期限</w:t>
            </w: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r>
              <w:rPr>
                <w:rFonts w:hint="eastAsia" w:ascii="仿宋" w:hAnsi="仿宋" w:eastAsia="仿宋"/>
                <w:sz w:val="28"/>
                <w:szCs w:val="28"/>
              </w:rPr>
              <w:t>1</w:t>
            </w: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r>
              <w:rPr>
                <w:rFonts w:hint="eastAsia" w:ascii="仿宋" w:hAnsi="仿宋" w:eastAsia="仿宋"/>
                <w:sz w:val="28"/>
                <w:szCs w:val="28"/>
              </w:rPr>
              <w:t>2</w:t>
            </w: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r>
              <w:rPr>
                <w:rFonts w:ascii="仿宋" w:hAnsi="仿宋" w:eastAsia="仿宋"/>
                <w:sz w:val="28"/>
                <w:szCs w:val="28"/>
              </w:rPr>
              <w:t>…</w:t>
            </w: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c>
          <w:tcPr>
            <w:tcW w:w="452" w:type="pct"/>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 w:hAnsi="仿宋" w:eastAsia="仿宋"/>
                <w:sz w:val="28"/>
                <w:szCs w:val="28"/>
              </w:rPr>
            </w:pPr>
          </w:p>
        </w:tc>
        <w:tc>
          <w:tcPr>
            <w:tcW w:w="763" w:type="pct"/>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ascii="仿宋" w:hAnsi="仿宋" w:eastAsia="仿宋"/>
                <w:sz w:val="28"/>
                <w:szCs w:val="28"/>
              </w:rPr>
            </w:pPr>
          </w:p>
        </w:tc>
      </w:tr>
    </w:tbl>
    <w:p>
      <w:pPr>
        <w:spacing w:before="163" w:beforeLines="50"/>
        <w:ind w:firstLine="480" w:firstLineChars="200"/>
        <w:rPr>
          <w:rFonts w:ascii="楷体" w:hAnsi="楷体" w:eastAsia="楷体"/>
        </w:rPr>
      </w:pPr>
      <w:r>
        <w:rPr>
          <w:rFonts w:hint="eastAsia" w:ascii="楷体" w:hAnsi="楷体" w:eastAsia="楷体"/>
        </w:rPr>
        <w:t>注：（1）流动人员：指在中心进修学习、做访问学者、行业企业人员、海内外合作教学人员等。（2）工作期限：在示范中心工作的协议起止时间。</w:t>
      </w:r>
    </w:p>
    <w:p>
      <w:pPr>
        <w:spacing w:before="163" w:after="163" w:line="360" w:lineRule="auto"/>
        <w:ind w:firstLine="560" w:firstLineChars="200"/>
        <w:rPr>
          <w:rFonts w:ascii="黑体" w:hAnsi="黑体" w:eastAsia="黑体" w:cs="仿宋_GB2312"/>
          <w:bCs/>
          <w:color w:val="FF0000"/>
          <w:sz w:val="28"/>
          <w:szCs w:val="28"/>
        </w:rPr>
      </w:pPr>
      <w:r>
        <w:rPr>
          <w:rFonts w:hint="eastAsia" w:ascii="黑体" w:hAnsi="黑体" w:eastAsia="黑体"/>
          <w:sz w:val="28"/>
          <w:szCs w:val="28"/>
        </w:rPr>
        <w:t>（四）本年度</w:t>
      </w:r>
      <w:r>
        <w:rPr>
          <w:rFonts w:hint="eastAsia" w:ascii="黑体" w:hAnsi="黑体" w:eastAsia="黑体" w:cs="仿宋_GB2312"/>
          <w:bCs/>
          <w:sz w:val="28"/>
          <w:szCs w:val="28"/>
        </w:rPr>
        <w:t>教学指导委员会人员情况</w:t>
      </w:r>
    </w:p>
    <w:tbl>
      <w:tblPr>
        <w:tblStyle w:val="6"/>
        <w:tblW w:w="8516" w:type="dxa"/>
        <w:tblInd w:w="0" w:type="dxa"/>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1"/>
        <w:gridCol w:w="990"/>
        <w:gridCol w:w="477"/>
        <w:gridCol w:w="1193"/>
        <w:gridCol w:w="706"/>
        <w:gridCol w:w="705"/>
        <w:gridCol w:w="705"/>
        <w:gridCol w:w="1192"/>
        <w:gridCol w:w="705"/>
        <w:gridCol w:w="1192"/>
      </w:tblGrid>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51"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序号</w:t>
            </w:r>
          </w:p>
        </w:tc>
        <w:tc>
          <w:tcPr>
            <w:tcW w:w="99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姓名</w:t>
            </w:r>
          </w:p>
        </w:tc>
        <w:tc>
          <w:tcPr>
            <w:tcW w:w="47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性别</w:t>
            </w:r>
          </w:p>
        </w:tc>
        <w:tc>
          <w:tcPr>
            <w:tcW w:w="119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出生年份</w:t>
            </w:r>
          </w:p>
        </w:tc>
        <w:tc>
          <w:tcPr>
            <w:tcW w:w="706"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职称</w:t>
            </w:r>
          </w:p>
        </w:tc>
        <w:tc>
          <w:tcPr>
            <w:tcW w:w="70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职务</w:t>
            </w:r>
          </w:p>
        </w:tc>
        <w:tc>
          <w:tcPr>
            <w:tcW w:w="70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国别</w:t>
            </w:r>
          </w:p>
        </w:tc>
        <w:tc>
          <w:tcPr>
            <w:tcW w:w="119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工作单位</w:t>
            </w:r>
          </w:p>
        </w:tc>
        <w:tc>
          <w:tcPr>
            <w:tcW w:w="705" w:type="dxa"/>
            <w:tcBorders>
              <w:top w:val="single" w:color="auto" w:sz="6" w:space="0"/>
              <w:left w:val="single" w:color="auto" w:sz="4" w:space="0"/>
              <w:bottom w:val="single" w:color="auto" w:sz="6" w:space="0"/>
              <w:right w:val="single" w:color="auto" w:sz="4"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类型</w:t>
            </w:r>
          </w:p>
        </w:tc>
        <w:tc>
          <w:tcPr>
            <w:tcW w:w="119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参会次数</w:t>
            </w: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651"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w:t>
            </w:r>
          </w:p>
        </w:tc>
        <w:tc>
          <w:tcPr>
            <w:tcW w:w="99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杨玉萍</w:t>
            </w:r>
          </w:p>
        </w:tc>
        <w:tc>
          <w:tcPr>
            <w:tcW w:w="477"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女</w:t>
            </w:r>
          </w:p>
        </w:tc>
        <w:tc>
          <w:tcPr>
            <w:tcW w:w="1193"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1961</w:t>
            </w:r>
          </w:p>
        </w:tc>
        <w:tc>
          <w:tcPr>
            <w:tcW w:w="706"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教授</w:t>
            </w:r>
          </w:p>
        </w:tc>
        <w:tc>
          <w:tcPr>
            <w:tcW w:w="70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委员</w:t>
            </w:r>
          </w:p>
        </w:tc>
        <w:tc>
          <w:tcPr>
            <w:tcW w:w="705"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中国</w:t>
            </w:r>
          </w:p>
        </w:tc>
        <w:tc>
          <w:tcPr>
            <w:tcW w:w="1192"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color w:val="000000"/>
                <w:kern w:val="0"/>
                <w:lang w:bidi="ar"/>
              </w:rPr>
              <w:t>昆明医科大学</w:t>
            </w:r>
          </w:p>
        </w:tc>
        <w:tc>
          <w:tcPr>
            <w:tcW w:w="705" w:type="dxa"/>
            <w:tcBorders>
              <w:top w:val="single" w:color="auto" w:sz="6"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r>
              <w:rPr>
                <w:rFonts w:hint="eastAsia" w:ascii="楷体" w:hAnsi="楷体" w:eastAsia="楷体" w:cs="楷体"/>
                <w:bCs/>
              </w:rPr>
              <w:t>外校专家</w:t>
            </w:r>
          </w:p>
        </w:tc>
        <w:tc>
          <w:tcPr>
            <w:tcW w:w="1192" w:type="dxa"/>
            <w:tcBorders>
              <w:top w:val="single" w:color="auto" w:sz="6" w:space="0"/>
              <w:left w:val="single" w:color="auto" w:sz="4" w:space="0"/>
              <w:bottom w:val="single" w:color="auto" w:sz="6" w:space="0"/>
              <w:right w:val="single" w:color="auto" w:sz="6" w:space="0"/>
            </w:tcBorders>
            <w:vAlign w:val="center"/>
          </w:tcPr>
          <w:p>
            <w:pPr>
              <w:widowControl/>
              <w:adjustRightInd w:val="0"/>
              <w:snapToGrid w:val="0"/>
              <w:spacing w:line="400" w:lineRule="exact"/>
              <w:jc w:val="center"/>
              <w:textAlignment w:val="center"/>
              <w:rPr>
                <w:rFonts w:ascii="楷体" w:hAnsi="楷体" w:eastAsia="楷体" w:cs="楷体"/>
                <w:color w:val="000000"/>
                <w:kern w:val="0"/>
                <w:lang w:bidi="ar"/>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651"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w:t>
            </w:r>
          </w:p>
        </w:tc>
        <w:tc>
          <w:tcPr>
            <w:tcW w:w="99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47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119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706"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70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sz w:val="28"/>
                <w:szCs w:val="28"/>
              </w:rPr>
            </w:pPr>
          </w:p>
        </w:tc>
        <w:tc>
          <w:tcPr>
            <w:tcW w:w="70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119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705" w:type="dxa"/>
            <w:tcBorders>
              <w:top w:val="single" w:color="auto" w:sz="6" w:space="0"/>
              <w:left w:val="single" w:color="auto" w:sz="4" w:space="0"/>
              <w:bottom w:val="single" w:color="auto" w:sz="6" w:space="0"/>
              <w:right w:val="single" w:color="auto" w:sz="4" w:space="0"/>
            </w:tcBorders>
            <w:vAlign w:val="center"/>
          </w:tcPr>
          <w:p>
            <w:pPr>
              <w:adjustRightInd w:val="0"/>
              <w:snapToGrid w:val="0"/>
              <w:spacing w:line="400" w:lineRule="exact"/>
              <w:jc w:val="center"/>
              <w:rPr>
                <w:rFonts w:ascii="楷体" w:hAnsi="楷体" w:eastAsia="楷体" w:cs="楷体"/>
                <w:sz w:val="28"/>
                <w:szCs w:val="28"/>
              </w:rPr>
            </w:pPr>
          </w:p>
        </w:tc>
        <w:tc>
          <w:tcPr>
            <w:tcW w:w="119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651"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w:t>
            </w:r>
          </w:p>
        </w:tc>
        <w:tc>
          <w:tcPr>
            <w:tcW w:w="99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47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119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706"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70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sz w:val="28"/>
                <w:szCs w:val="28"/>
              </w:rPr>
            </w:pPr>
          </w:p>
        </w:tc>
        <w:tc>
          <w:tcPr>
            <w:tcW w:w="70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119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c>
          <w:tcPr>
            <w:tcW w:w="705" w:type="dxa"/>
            <w:tcBorders>
              <w:top w:val="single" w:color="auto" w:sz="6" w:space="0"/>
              <w:left w:val="single" w:color="auto" w:sz="4" w:space="0"/>
              <w:bottom w:val="single" w:color="auto" w:sz="6" w:space="0"/>
              <w:right w:val="single" w:color="auto" w:sz="4" w:space="0"/>
            </w:tcBorders>
            <w:vAlign w:val="center"/>
          </w:tcPr>
          <w:p>
            <w:pPr>
              <w:adjustRightInd w:val="0"/>
              <w:snapToGrid w:val="0"/>
              <w:spacing w:line="400" w:lineRule="exact"/>
              <w:jc w:val="center"/>
              <w:rPr>
                <w:rFonts w:ascii="楷体" w:hAnsi="楷体" w:eastAsia="楷体" w:cs="楷体"/>
                <w:sz w:val="28"/>
                <w:szCs w:val="28"/>
              </w:rPr>
            </w:pPr>
          </w:p>
        </w:tc>
        <w:tc>
          <w:tcPr>
            <w:tcW w:w="119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sz w:val="28"/>
                <w:szCs w:val="28"/>
              </w:rPr>
            </w:pPr>
          </w:p>
        </w:tc>
      </w:tr>
    </w:tbl>
    <w:p>
      <w:pPr>
        <w:adjustRightInd w:val="0"/>
        <w:snapToGrid w:val="0"/>
        <w:spacing w:line="360" w:lineRule="auto"/>
        <w:ind w:firstLine="480" w:firstLineChars="200"/>
        <w:rPr>
          <w:rFonts w:ascii="楷体" w:hAnsi="楷体" w:eastAsia="楷体" w:cs="仿宋_GB2312"/>
          <w:bCs/>
        </w:rPr>
      </w:pPr>
      <w:r>
        <w:rPr>
          <w:rFonts w:hint="eastAsia" w:ascii="楷体" w:hAnsi="楷体" w:eastAsia="楷体" w:cs="仿宋_GB2312"/>
          <w:bCs/>
        </w:rPr>
        <w:t>注：（1）教学指导委员会类型包括校内专家、外校专家、企业专家和外籍专家。（2）职务：包括主任委员和委员两类。（3）参会次数：年度内参加教学指导委员会会议的次数。</w:t>
      </w:r>
    </w:p>
    <w:p>
      <w:pPr>
        <w:adjustRightInd w:val="0"/>
        <w:snapToGrid w:val="0"/>
        <w:spacing w:line="360" w:lineRule="auto"/>
        <w:ind w:firstLine="470" w:firstLineChars="196"/>
        <w:rPr>
          <w:rFonts w:ascii="楷体" w:hAnsi="楷体" w:eastAsia="楷体"/>
          <w:bCs/>
        </w:rPr>
      </w:pPr>
    </w:p>
    <w:p>
      <w:pPr>
        <w:spacing w:line="360" w:lineRule="auto"/>
        <w:ind w:firstLine="643" w:firstLineChars="200"/>
        <w:rPr>
          <w:rFonts w:ascii="黑体" w:hAnsi="黑体" w:eastAsia="黑体"/>
          <w:b/>
          <w:bCs/>
          <w:sz w:val="32"/>
          <w:szCs w:val="32"/>
        </w:rPr>
      </w:pPr>
      <w:r>
        <w:rPr>
          <w:rFonts w:hint="eastAsia" w:ascii="黑体" w:hAnsi="黑体" w:eastAsia="黑体"/>
          <w:b/>
          <w:bCs/>
          <w:sz w:val="32"/>
          <w:szCs w:val="32"/>
        </w:rPr>
        <w:t>三、人才培养情况</w:t>
      </w:r>
    </w:p>
    <w:p>
      <w:pPr>
        <w:spacing w:after="163" w:line="360" w:lineRule="auto"/>
        <w:ind w:firstLine="560" w:firstLineChars="200"/>
        <w:rPr>
          <w:rFonts w:ascii="黑体" w:hAnsi="黑体" w:eastAsia="黑体"/>
          <w:bCs/>
          <w:sz w:val="28"/>
          <w:szCs w:val="28"/>
        </w:rPr>
      </w:pPr>
      <w:r>
        <w:rPr>
          <w:rFonts w:hint="eastAsia" w:ascii="黑体" w:hAnsi="黑体" w:eastAsia="黑体"/>
          <w:bCs/>
          <w:sz w:val="28"/>
          <w:szCs w:val="28"/>
        </w:rPr>
        <w:t>（一）示范中心实验教学面向所在学校专业及学生情况</w:t>
      </w:r>
    </w:p>
    <w:tbl>
      <w:tblPr>
        <w:tblStyle w:val="6"/>
        <w:tblW w:w="82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3260"/>
        <w:gridCol w:w="1559"/>
        <w:gridCol w:w="1418"/>
        <w:gridCol w:w="1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黑体" w:hAnsi="黑体" w:eastAsia="黑体" w:cs="Times New Roman"/>
              </w:rPr>
            </w:pPr>
            <w:r>
              <w:rPr>
                <w:rFonts w:hint="eastAsia" w:ascii="黑体" w:hAnsi="黑体" w:eastAsia="黑体" w:cs="黑体"/>
              </w:rPr>
              <w:t>序号</w:t>
            </w:r>
          </w:p>
        </w:tc>
        <w:tc>
          <w:tcPr>
            <w:tcW w:w="4819"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黑体" w:hAnsi="黑体" w:eastAsia="黑体" w:cs="Times New Roman"/>
              </w:rPr>
            </w:pPr>
            <w:r>
              <w:rPr>
                <w:rFonts w:hint="eastAsia" w:ascii="黑体" w:hAnsi="黑体" w:eastAsia="黑体" w:cs="黑体"/>
              </w:rPr>
              <w:t>面向的专业</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黑体" w:hAnsi="黑体" w:eastAsia="黑体" w:cs="Times New Roman"/>
              </w:rPr>
            </w:pPr>
            <w:r>
              <w:rPr>
                <w:rFonts w:hint="eastAsia" w:ascii="黑体" w:hAnsi="黑体" w:eastAsia="黑体" w:cs="黑体"/>
              </w:rPr>
              <w:t>学生人数</w:t>
            </w:r>
          </w:p>
        </w:tc>
        <w:tc>
          <w:tcPr>
            <w:tcW w:w="1089"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黑体" w:hAnsi="黑体" w:eastAsia="黑体" w:cs="Times New Roman"/>
              </w:rPr>
            </w:pPr>
            <w:r>
              <w:rPr>
                <w:rFonts w:hint="eastAsia" w:ascii="黑体" w:hAnsi="黑体" w:eastAsia="黑体" w:cs="黑体"/>
              </w:rPr>
              <w:t>人时数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tcBorders>
              <w:top w:val="single" w:color="000000" w:sz="4" w:space="0"/>
              <w:left w:val="single" w:color="000000" w:sz="4" w:space="0"/>
              <w:bottom w:val="single" w:color="000000" w:sz="4" w:space="0"/>
              <w:right w:val="single" w:color="000000" w:sz="4" w:space="0"/>
            </w:tcBorders>
          </w:tcPr>
          <w:p>
            <w:pPr>
              <w:snapToGrid w:val="0"/>
              <w:spacing w:line="400" w:lineRule="exact"/>
              <w:rPr>
                <w:rFonts w:ascii="仿宋" w:hAnsi="仿宋" w:eastAsia="仿宋" w:cs="Times New Roman"/>
                <w:b/>
                <w:bCs/>
              </w:rPr>
            </w:pP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黑体" w:hAnsi="黑体" w:eastAsia="黑体" w:cs="Times New Roman"/>
              </w:rPr>
            </w:pPr>
            <w:r>
              <w:rPr>
                <w:rFonts w:hint="eastAsia" w:ascii="黑体" w:hAnsi="黑体" w:eastAsia="黑体" w:cs="黑体"/>
              </w:rPr>
              <w:t>专业名称</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黑体" w:hAnsi="黑体" w:eastAsia="黑体" w:cs="Times New Roman"/>
              </w:rPr>
            </w:pPr>
            <w:r>
              <w:rPr>
                <w:rFonts w:hint="eastAsia" w:ascii="黑体" w:hAnsi="黑体" w:eastAsia="黑体" w:cs="黑体"/>
              </w:rPr>
              <w:t>年级</w:t>
            </w:r>
          </w:p>
        </w:tc>
        <w:tc>
          <w:tcPr>
            <w:tcW w:w="1418" w:type="dxa"/>
            <w:vMerge w:val="continue"/>
            <w:tcBorders>
              <w:top w:val="single" w:color="000000" w:sz="4" w:space="0"/>
              <w:left w:val="single" w:color="000000" w:sz="4" w:space="0"/>
              <w:bottom w:val="single" w:color="000000" w:sz="4" w:space="0"/>
              <w:right w:val="single" w:color="000000" w:sz="4" w:space="0"/>
            </w:tcBorders>
          </w:tcPr>
          <w:p>
            <w:pPr>
              <w:snapToGrid w:val="0"/>
              <w:spacing w:line="400" w:lineRule="exact"/>
              <w:rPr>
                <w:rFonts w:ascii="仿宋" w:hAnsi="仿宋" w:eastAsia="仿宋" w:cs="Times New Roman"/>
                <w:b/>
                <w:bCs/>
              </w:rPr>
            </w:pPr>
          </w:p>
        </w:tc>
        <w:tc>
          <w:tcPr>
            <w:tcW w:w="1089" w:type="dxa"/>
            <w:vMerge w:val="continue"/>
            <w:tcBorders>
              <w:top w:val="single" w:color="000000" w:sz="4" w:space="0"/>
              <w:left w:val="single" w:color="000000" w:sz="4" w:space="0"/>
              <w:bottom w:val="single" w:color="000000" w:sz="4" w:space="0"/>
              <w:right w:val="single" w:color="000000" w:sz="4" w:space="0"/>
            </w:tcBorders>
          </w:tcPr>
          <w:p>
            <w:pPr>
              <w:snapToGrid w:val="0"/>
              <w:spacing w:line="400" w:lineRule="exact"/>
              <w:rPr>
                <w:rFonts w:ascii="仿宋" w:hAnsi="仿宋" w:eastAsia="仿宋" w:cs="Times New Roman"/>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临床医学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20</w:t>
            </w:r>
            <w:r>
              <w:rPr>
                <w:rFonts w:hint="eastAsia" w:ascii="楷体" w:hAnsi="楷体" w:eastAsia="楷体" w:cs="楷体"/>
                <w:lang w:val="en-US" w:eastAsia="zh-CN"/>
              </w:rPr>
              <w:t>20</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955</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648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2</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全科医学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20</w:t>
            </w:r>
            <w:r>
              <w:rPr>
                <w:rFonts w:hint="eastAsia" w:ascii="楷体" w:hAnsi="楷体" w:eastAsia="楷体" w:cs="楷体"/>
                <w:lang w:val="en-US" w:eastAsia="zh-CN"/>
              </w:rPr>
              <w:t>20</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160</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3</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麻醉学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20</w:t>
            </w:r>
            <w:r>
              <w:rPr>
                <w:rFonts w:hint="eastAsia" w:ascii="楷体" w:hAnsi="楷体" w:eastAsia="楷体" w:cs="楷体"/>
                <w:lang w:val="en-US" w:eastAsia="zh-CN"/>
              </w:rPr>
              <w:t>20</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119</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4</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医学影像学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20</w:t>
            </w:r>
            <w:r>
              <w:rPr>
                <w:rFonts w:hint="eastAsia" w:ascii="楷体" w:hAnsi="楷体" w:eastAsia="楷体" w:cs="楷体"/>
                <w:lang w:val="en-US" w:eastAsia="zh-CN"/>
              </w:rPr>
              <w:t>20</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119</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5</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医学影像技术</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20</w:t>
            </w:r>
            <w:r>
              <w:rPr>
                <w:rFonts w:hint="eastAsia" w:ascii="楷体" w:hAnsi="楷体" w:eastAsia="楷体" w:cs="楷体"/>
                <w:lang w:val="en-US" w:eastAsia="zh-CN"/>
              </w:rPr>
              <w:t>20</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60</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6</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儿科学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20</w:t>
            </w:r>
            <w:r>
              <w:rPr>
                <w:rFonts w:hint="eastAsia" w:ascii="楷体" w:hAnsi="楷体" w:eastAsia="楷体" w:cs="楷体"/>
                <w:lang w:val="en-US" w:eastAsia="zh-CN"/>
              </w:rPr>
              <w:t>20</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12</w:t>
            </w:r>
            <w:r>
              <w:rPr>
                <w:rFonts w:hint="eastAsia" w:ascii="楷体" w:hAnsi="楷体" w:eastAsia="楷体" w:cs="楷体"/>
                <w:lang w:val="en-US" w:eastAsia="zh-CN"/>
              </w:rPr>
              <w:t>0</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val="en-US" w:eastAsia="zh-CN"/>
              </w:rPr>
              <w:t>7</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医学影像技术</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9</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45</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8</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眼视光班</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2019</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38</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9</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全科医学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1089</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3512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color w:val="auto"/>
              </w:rPr>
            </w:pPr>
            <w:r>
              <w:rPr>
                <w:rFonts w:hint="eastAsia" w:ascii="楷体" w:hAnsi="楷体" w:eastAsia="楷体" w:cs="楷体"/>
                <w:color w:val="auto"/>
              </w:rPr>
              <w:t>10</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color w:val="auto"/>
                <w:lang w:eastAsia="zh-CN"/>
              </w:rPr>
            </w:pPr>
            <w:r>
              <w:rPr>
                <w:rFonts w:hint="eastAsia" w:ascii="楷体" w:hAnsi="楷体" w:eastAsia="楷体" w:cs="楷体"/>
                <w:color w:val="auto"/>
                <w:lang w:eastAsia="zh-CN"/>
              </w:rPr>
              <w:t>临床医学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color w:val="auto"/>
                <w:lang w:eastAsia="zh-CN"/>
              </w:rPr>
            </w:pPr>
            <w:r>
              <w:rPr>
                <w:rFonts w:hint="eastAsia" w:ascii="楷体" w:hAnsi="楷体" w:eastAsia="楷体" w:cs="楷体"/>
                <w:color w:val="auto"/>
              </w:rPr>
              <w:t>201</w:t>
            </w:r>
            <w:r>
              <w:rPr>
                <w:rFonts w:hint="eastAsia" w:ascii="楷体" w:hAnsi="楷体" w:eastAsia="楷体" w:cs="楷体"/>
                <w:color w:val="auto"/>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color w:val="auto"/>
                <w:lang w:val="en-US" w:eastAsia="zh-CN"/>
              </w:rPr>
            </w:pPr>
            <w:r>
              <w:rPr>
                <w:rFonts w:hint="eastAsia" w:ascii="楷体" w:hAnsi="楷体" w:eastAsia="楷体" w:cs="楷体"/>
                <w:color w:val="auto"/>
                <w:lang w:val="en-US" w:eastAsia="zh-CN"/>
              </w:rPr>
              <w:t>1996</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color w:val="auto"/>
                <w:lang w:val="en-US" w:eastAsia="zh-CN"/>
              </w:rPr>
            </w:pPr>
            <w:r>
              <w:rPr>
                <w:rFonts w:hint="eastAsia" w:ascii="楷体" w:hAnsi="楷体" w:eastAsia="楷体" w:cs="楷体"/>
                <w:color w:val="auto"/>
                <w:lang w:val="en-US" w:eastAsia="zh-CN"/>
              </w:rPr>
              <w:t>5332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11</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医学影像学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218</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12</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儿科学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20</w:t>
            </w:r>
            <w:r>
              <w:rPr>
                <w:rFonts w:hint="eastAsia" w:ascii="楷体" w:hAnsi="楷体" w:eastAsia="楷体" w:cs="楷体"/>
                <w:lang w:val="en-US" w:eastAsia="zh-CN"/>
              </w:rPr>
              <w:t>18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1</w:t>
            </w:r>
            <w:r>
              <w:rPr>
                <w:rFonts w:hint="eastAsia" w:ascii="楷体" w:hAnsi="楷体" w:eastAsia="楷体" w:cs="楷体"/>
                <w:lang w:val="en-US" w:eastAsia="zh-CN"/>
              </w:rPr>
              <w:t>24</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13</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法医学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110</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14</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医学影像技术</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4</w:t>
            </w:r>
            <w:r>
              <w:rPr>
                <w:rFonts w:hint="eastAsia" w:ascii="楷体" w:hAnsi="楷体" w:eastAsia="楷体" w:cs="楷体"/>
                <w:lang w:val="en-US" w:eastAsia="zh-CN"/>
              </w:rPr>
              <w:t>5</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15</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影像</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1</w:t>
            </w:r>
            <w:r>
              <w:rPr>
                <w:rFonts w:hint="eastAsia" w:ascii="楷体" w:hAnsi="楷体" w:eastAsia="楷体" w:cs="楷体"/>
                <w:lang w:val="en-US" w:eastAsia="zh-CN"/>
              </w:rPr>
              <w:t>10</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16</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食品卫生与营养学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48</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17</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预防医学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102</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18</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临床医学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2017</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1485</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7903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19</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临床药学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2017</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69</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20</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儿科学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7</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357</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1712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21</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麻醉学</w:t>
            </w: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eastAsia" w:ascii="楷体" w:hAnsi="楷体" w:eastAsia="楷体" w:cs="楷体"/>
                <w:lang w:eastAsia="zh-CN"/>
              </w:rPr>
            </w:pPr>
            <w:r>
              <w:rPr>
                <w:rFonts w:hint="eastAsia" w:ascii="楷体" w:hAnsi="楷体" w:eastAsia="楷体" w:cs="楷体"/>
              </w:rPr>
              <w:t>201</w:t>
            </w:r>
            <w:r>
              <w:rPr>
                <w:rFonts w:hint="eastAsia" w:ascii="楷体" w:hAnsi="楷体" w:eastAsia="楷体" w:cs="楷体"/>
                <w:lang w:val="en-US" w:eastAsia="zh-CN"/>
              </w:rPr>
              <w:t>7</w:t>
            </w: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341</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672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r>
              <w:rPr>
                <w:rFonts w:hint="eastAsia" w:ascii="楷体" w:hAnsi="楷体" w:eastAsia="楷体" w:cs="楷体"/>
              </w:rPr>
              <w:t>合计</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p>
        </w:tc>
        <w:tc>
          <w:tcPr>
            <w:tcW w:w="155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ascii="楷体" w:hAnsi="楷体" w:eastAsia="楷体" w:cs="楷体"/>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7710</w:t>
            </w:r>
          </w:p>
        </w:tc>
        <w:tc>
          <w:tcPr>
            <w:tcW w:w="1089"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jc w:val="center"/>
              <w:rPr>
                <w:rFonts w:hint="default" w:ascii="楷体" w:hAnsi="楷体" w:eastAsia="楷体" w:cs="楷体"/>
                <w:lang w:val="en-US" w:eastAsia="zh-CN"/>
              </w:rPr>
            </w:pPr>
            <w:r>
              <w:rPr>
                <w:rFonts w:hint="eastAsia" w:ascii="楷体" w:hAnsi="楷体" w:eastAsia="楷体" w:cs="楷体"/>
              </w:rPr>
              <w:t>22</w:t>
            </w:r>
            <w:r>
              <w:rPr>
                <w:rFonts w:hint="eastAsia" w:ascii="楷体" w:hAnsi="楷体" w:eastAsia="楷体" w:cs="楷体"/>
                <w:lang w:val="en-US" w:eastAsia="zh-CN"/>
              </w:rPr>
              <w:t>163</w:t>
            </w:r>
          </w:p>
        </w:tc>
      </w:tr>
    </w:tbl>
    <w:p>
      <w:pPr>
        <w:spacing w:line="360" w:lineRule="auto"/>
        <w:ind w:firstLine="470" w:firstLineChars="196"/>
        <w:rPr>
          <w:rFonts w:ascii="楷体" w:hAnsi="楷体" w:eastAsia="楷体"/>
          <w:bCs/>
        </w:rPr>
      </w:pPr>
    </w:p>
    <w:p>
      <w:pPr>
        <w:spacing w:line="360" w:lineRule="auto"/>
        <w:ind w:firstLine="470" w:firstLineChars="196"/>
        <w:rPr>
          <w:rFonts w:ascii="楷体" w:hAnsi="楷体" w:eastAsia="楷体"/>
          <w:bCs/>
        </w:rPr>
      </w:pPr>
      <w:r>
        <w:rPr>
          <w:rFonts w:hint="eastAsia" w:ascii="楷体" w:hAnsi="楷体" w:eastAsia="楷体"/>
          <w:bCs/>
        </w:rPr>
        <w:t>注：面向的本校专业：实验教学内容列入专业人才培养方案的专业。</w:t>
      </w:r>
    </w:p>
    <w:p>
      <w:pPr>
        <w:spacing w:before="163" w:after="163" w:line="360" w:lineRule="auto"/>
        <w:ind w:firstLine="560" w:firstLineChars="200"/>
        <w:rPr>
          <w:rFonts w:ascii="黑体" w:hAnsi="黑体" w:eastAsia="黑体"/>
          <w:bCs/>
          <w:sz w:val="28"/>
          <w:szCs w:val="28"/>
        </w:rPr>
      </w:pPr>
      <w:r>
        <w:rPr>
          <w:rFonts w:hint="eastAsia" w:ascii="黑体" w:hAnsi="黑体" w:eastAsia="黑体"/>
          <w:bCs/>
          <w:sz w:val="28"/>
          <w:szCs w:val="28"/>
        </w:rPr>
        <w:t>（二）实验教学资源情况</w:t>
      </w:r>
    </w:p>
    <w:tbl>
      <w:tblPr>
        <w:tblStyle w:val="6"/>
        <w:tblW w:w="79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08"/>
        <w:gridCol w:w="3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08"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rPr>
            </w:pPr>
            <w:r>
              <w:rPr>
                <w:rFonts w:hint="eastAsia" w:ascii="黑体" w:hAnsi="黑体" w:eastAsia="黑体" w:cs="黑体"/>
              </w:rPr>
              <w:t>实验项目资源总数</w:t>
            </w:r>
          </w:p>
        </w:tc>
        <w:tc>
          <w:tcPr>
            <w:tcW w:w="366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1</w:t>
            </w:r>
            <w:r>
              <w:rPr>
                <w:rFonts w:hint="eastAsia" w:ascii="黑体" w:hAnsi="黑体" w:eastAsia="黑体" w:cs="黑体"/>
                <w:lang w:val="en-US" w:eastAsia="zh-CN"/>
              </w:rPr>
              <w:t>3</w:t>
            </w:r>
            <w:r>
              <w:rPr>
                <w:rFonts w:hint="eastAsia" w:ascii="黑体" w:hAnsi="黑体" w:eastAsia="黑体" w:cs="黑体"/>
              </w:rPr>
              <w:t>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08"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rPr>
            </w:pPr>
            <w:r>
              <w:rPr>
                <w:rFonts w:hint="eastAsia" w:ascii="黑体" w:hAnsi="黑体" w:eastAsia="黑体" w:cs="黑体"/>
              </w:rPr>
              <w:t>年度开设实验项目数</w:t>
            </w:r>
          </w:p>
        </w:tc>
        <w:tc>
          <w:tcPr>
            <w:tcW w:w="366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1</w:t>
            </w:r>
            <w:r>
              <w:rPr>
                <w:rFonts w:hint="eastAsia" w:ascii="黑体" w:hAnsi="黑体" w:eastAsia="黑体" w:cs="黑体"/>
                <w:lang w:val="en-US" w:eastAsia="zh-CN"/>
              </w:rPr>
              <w:t>1</w:t>
            </w:r>
            <w:r>
              <w:rPr>
                <w:rFonts w:hint="eastAsia" w:ascii="黑体" w:hAnsi="黑体" w:eastAsia="黑体" w:cs="黑体"/>
              </w:rPr>
              <w:t>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08"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rPr>
            </w:pPr>
            <w:r>
              <w:rPr>
                <w:rFonts w:hint="eastAsia" w:ascii="黑体" w:hAnsi="黑体" w:eastAsia="黑体" w:cs="黑体"/>
              </w:rPr>
              <w:t>年度独立设课的实验课程</w:t>
            </w:r>
          </w:p>
        </w:tc>
        <w:tc>
          <w:tcPr>
            <w:tcW w:w="366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lang w:val="en-US" w:eastAsia="zh-CN"/>
              </w:rPr>
              <w:t>7</w:t>
            </w:r>
            <w:r>
              <w:rPr>
                <w:rFonts w:hint="eastAsia" w:ascii="黑体" w:hAnsi="黑体" w:eastAsia="黑体" w:cs="黑体"/>
              </w:rPr>
              <w:t>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08"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rPr>
            </w:pPr>
            <w:r>
              <w:rPr>
                <w:rFonts w:hint="eastAsia" w:ascii="黑体" w:hAnsi="黑体" w:eastAsia="黑体" w:cs="黑体"/>
              </w:rPr>
              <w:t>实验教材总数</w:t>
            </w:r>
          </w:p>
        </w:tc>
        <w:tc>
          <w:tcPr>
            <w:tcW w:w="366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lang w:val="en-US" w:eastAsia="zh-CN"/>
              </w:rPr>
              <w:t>7</w:t>
            </w:r>
            <w:r>
              <w:rPr>
                <w:rFonts w:hint="eastAsia" w:ascii="黑体" w:hAnsi="黑体" w:eastAsia="黑体" w:cs="黑体"/>
              </w:rPr>
              <w:t>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08"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center"/>
              <w:rPr>
                <w:rFonts w:ascii="黑体" w:hAnsi="黑体" w:eastAsia="黑体" w:cs="Times New Roman"/>
              </w:rPr>
            </w:pPr>
            <w:r>
              <w:rPr>
                <w:rFonts w:hint="eastAsia" w:ascii="黑体" w:hAnsi="黑体" w:eastAsia="黑体" w:cs="黑体"/>
              </w:rPr>
              <w:t>年度新增实验教材</w:t>
            </w:r>
          </w:p>
        </w:tc>
        <w:tc>
          <w:tcPr>
            <w:tcW w:w="366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1种</w:t>
            </w:r>
          </w:p>
        </w:tc>
      </w:tr>
    </w:tbl>
    <w:p>
      <w:pPr>
        <w:ind w:firstLine="470" w:firstLineChars="196"/>
        <w:rPr>
          <w:rFonts w:ascii="楷体" w:hAnsi="楷体" w:eastAsia="楷体"/>
          <w:bCs/>
        </w:rPr>
      </w:pPr>
      <w:r>
        <w:rPr>
          <w:rFonts w:hint="eastAsia" w:ascii="楷体" w:hAnsi="楷体" w:eastAsia="楷体"/>
          <w:bCs/>
        </w:rPr>
        <w:t>注：（1）实验项目：有实验讲义和既往学生实验报告的实验项目。（2）实验教材：由中心固定人员担任主编、正式出版的实验教材。（3）实验课程：在专业培养方案中独立设置学分的实验课程。</w:t>
      </w:r>
    </w:p>
    <w:p>
      <w:pPr>
        <w:spacing w:before="163" w:after="163" w:line="360" w:lineRule="auto"/>
        <w:ind w:firstLine="560" w:firstLineChars="200"/>
        <w:rPr>
          <w:rFonts w:ascii="黑体" w:hAnsi="黑体" w:eastAsia="黑体"/>
          <w:bCs/>
          <w:sz w:val="28"/>
          <w:szCs w:val="28"/>
        </w:rPr>
      </w:pPr>
      <w:r>
        <w:rPr>
          <w:rFonts w:hint="eastAsia" w:ascii="黑体" w:hAnsi="黑体" w:eastAsia="黑体"/>
          <w:bCs/>
          <w:sz w:val="28"/>
          <w:szCs w:val="28"/>
        </w:rPr>
        <w:t>（三）学生获奖情况</w:t>
      </w:r>
    </w:p>
    <w:tbl>
      <w:tblPr>
        <w:tblStyle w:val="6"/>
        <w:tblW w:w="8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63"/>
        <w:gridCol w:w="37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学生获奖人数</w:t>
            </w:r>
          </w:p>
        </w:tc>
        <w:tc>
          <w:tcPr>
            <w:tcW w:w="37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学生发表论文数</w:t>
            </w:r>
          </w:p>
        </w:tc>
        <w:tc>
          <w:tcPr>
            <w:tcW w:w="37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学生获得专利数</w:t>
            </w:r>
          </w:p>
        </w:tc>
        <w:tc>
          <w:tcPr>
            <w:tcW w:w="37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00" w:lineRule="exact"/>
              <w:jc w:val="center"/>
              <w:rPr>
                <w:rFonts w:ascii="黑体" w:hAnsi="黑体" w:eastAsia="黑体" w:cs="Times New Roman"/>
              </w:rPr>
            </w:pPr>
          </w:p>
        </w:tc>
      </w:tr>
    </w:tbl>
    <w:p>
      <w:pPr>
        <w:ind w:firstLine="470" w:firstLineChars="196"/>
        <w:rPr>
          <w:rFonts w:ascii="楷体" w:hAnsi="楷体" w:eastAsia="楷体"/>
          <w:bCs/>
        </w:rPr>
      </w:pPr>
      <w:r>
        <w:rPr>
          <w:rFonts w:hint="eastAsia" w:ascii="楷体" w:hAnsi="楷体" w:eastAsia="楷体"/>
          <w:bCs/>
        </w:rPr>
        <w:t>注：（1）学生获奖：指导教师必须是中心固定人员，获奖项目必须是相关项目的全国总决赛以上项目。（2）学生发表论文：必须是在正规出版物上发表，通讯作者或指导老师为中心固定人员。（3）学生获得专利：为已批准专利，中心固定人员为专利共同持有人。</w:t>
      </w:r>
    </w:p>
    <w:p>
      <w:pPr>
        <w:spacing w:line="360" w:lineRule="auto"/>
        <w:ind w:firstLine="630" w:firstLineChars="196"/>
        <w:rPr>
          <w:rFonts w:ascii="黑体" w:hAnsi="黑体" w:eastAsia="黑体"/>
          <w:b/>
          <w:bCs/>
          <w:sz w:val="32"/>
          <w:szCs w:val="32"/>
        </w:rPr>
      </w:pPr>
      <w:r>
        <w:rPr>
          <w:rFonts w:hint="eastAsia" w:ascii="黑体" w:hAnsi="黑体" w:eastAsia="黑体"/>
          <w:b/>
          <w:bCs/>
          <w:sz w:val="32"/>
          <w:szCs w:val="32"/>
        </w:rPr>
        <w:t>四、教学改革与科学研究情况</w:t>
      </w:r>
    </w:p>
    <w:p>
      <w:pPr>
        <w:spacing w:before="163" w:after="163" w:line="360" w:lineRule="auto"/>
        <w:ind w:firstLine="560" w:firstLineChars="200"/>
        <w:rPr>
          <w:rFonts w:ascii="黑体" w:hAnsi="黑体" w:eastAsia="黑体"/>
          <w:bCs/>
          <w:sz w:val="28"/>
          <w:szCs w:val="28"/>
        </w:rPr>
      </w:pPr>
      <w:r>
        <w:rPr>
          <w:rFonts w:hint="eastAsia" w:ascii="黑体" w:hAnsi="黑体" w:eastAsia="黑体"/>
          <w:bCs/>
          <w:sz w:val="28"/>
          <w:szCs w:val="28"/>
        </w:rPr>
        <w:t>（一）</w:t>
      </w:r>
      <w:r>
        <w:rPr>
          <w:rFonts w:hint="eastAsia" w:ascii="黑体" w:hAnsi="黑体" w:eastAsia="黑体" w:cs="仿宋_GB2312"/>
          <w:bCs/>
          <w:sz w:val="28"/>
          <w:szCs w:val="28"/>
        </w:rPr>
        <w:t>承担教学改革任务及经费</w:t>
      </w:r>
    </w:p>
    <w:tbl>
      <w:tblPr>
        <w:tblStyle w:val="6"/>
        <w:tblW w:w="87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0"/>
        <w:gridCol w:w="1843"/>
        <w:gridCol w:w="708"/>
        <w:gridCol w:w="945"/>
        <w:gridCol w:w="1269"/>
        <w:gridCol w:w="1188"/>
        <w:gridCol w:w="1418"/>
        <w:gridCol w:w="7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序号</w:t>
            </w:r>
          </w:p>
        </w:tc>
        <w:tc>
          <w:tcPr>
            <w:tcW w:w="184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项目</w:t>
            </w:r>
            <w:r>
              <w:rPr>
                <w:rFonts w:ascii="黑体" w:hAnsi="黑体" w:eastAsia="黑体" w:cs="黑体"/>
              </w:rPr>
              <w:t>/</w:t>
            </w:r>
            <w:r>
              <w:rPr>
                <w:rFonts w:hint="eastAsia" w:ascii="黑体" w:hAnsi="黑体" w:eastAsia="黑体" w:cs="黑体"/>
              </w:rPr>
              <w:t>课题名称</w:t>
            </w:r>
          </w:p>
        </w:tc>
        <w:tc>
          <w:tcPr>
            <w:tcW w:w="70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文号</w:t>
            </w:r>
          </w:p>
        </w:tc>
        <w:tc>
          <w:tcPr>
            <w:tcW w:w="94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负责人</w:t>
            </w:r>
          </w:p>
        </w:tc>
        <w:tc>
          <w:tcPr>
            <w:tcW w:w="12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参加人员</w:t>
            </w:r>
          </w:p>
        </w:tc>
        <w:tc>
          <w:tcPr>
            <w:tcW w:w="118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起止时间</w:t>
            </w:r>
          </w:p>
        </w:tc>
        <w:tc>
          <w:tcPr>
            <w:tcW w:w="141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经费（万元）</w:t>
            </w: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w:t>
            </w:r>
          </w:p>
        </w:tc>
        <w:tc>
          <w:tcPr>
            <w:tcW w:w="1843"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综合性智能一体化临床技能虚拟仿真教学训练项目—云南省虚拟仿真实验教学项目</w:t>
            </w:r>
          </w:p>
        </w:tc>
        <w:tc>
          <w:tcPr>
            <w:tcW w:w="70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p>
        </w:tc>
        <w:tc>
          <w:tcPr>
            <w:tcW w:w="94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杨玉萍</w:t>
            </w:r>
          </w:p>
        </w:tc>
        <w:tc>
          <w:tcPr>
            <w:tcW w:w="126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张颖*、</w:t>
            </w:r>
          </w:p>
          <w:p>
            <w:pPr>
              <w:adjustRightInd w:val="0"/>
              <w:snapToGrid w:val="0"/>
              <w:spacing w:line="400" w:lineRule="exact"/>
              <w:jc w:val="center"/>
              <w:rPr>
                <w:rFonts w:ascii="楷体" w:hAnsi="楷体" w:eastAsia="楷体" w:cs="楷体"/>
              </w:rPr>
            </w:pPr>
            <w:r>
              <w:rPr>
                <w:rFonts w:hint="eastAsia" w:ascii="楷体" w:hAnsi="楷体" w:eastAsia="楷体" w:cs="楷体"/>
              </w:rPr>
              <w:t>罗志勇#、彭云珠#、蒋永新#、杨晖*、</w:t>
            </w:r>
          </w:p>
          <w:p>
            <w:pPr>
              <w:adjustRightInd w:val="0"/>
              <w:snapToGrid w:val="0"/>
              <w:spacing w:line="400" w:lineRule="exact"/>
              <w:jc w:val="center"/>
              <w:rPr>
                <w:rFonts w:ascii="楷体" w:hAnsi="楷体" w:eastAsia="楷体" w:cs="楷体"/>
              </w:rPr>
            </w:pPr>
            <w:r>
              <w:rPr>
                <w:rFonts w:hint="eastAsia" w:ascii="楷体" w:hAnsi="楷体" w:eastAsia="楷体" w:cs="楷体"/>
              </w:rPr>
              <w:t>刘怡希#、高波、</w:t>
            </w:r>
          </w:p>
          <w:p>
            <w:pPr>
              <w:adjustRightInd w:val="0"/>
              <w:snapToGrid w:val="0"/>
              <w:spacing w:line="400" w:lineRule="exact"/>
              <w:jc w:val="center"/>
              <w:rPr>
                <w:rFonts w:ascii="楷体" w:hAnsi="楷体" w:eastAsia="楷体" w:cs="楷体"/>
              </w:rPr>
            </w:pPr>
            <w:r>
              <w:rPr>
                <w:rFonts w:hint="eastAsia" w:ascii="楷体" w:hAnsi="楷体" w:eastAsia="楷体" w:cs="楷体"/>
              </w:rPr>
              <w:t>郭峰*、</w:t>
            </w:r>
          </w:p>
          <w:p>
            <w:pPr>
              <w:adjustRightInd w:val="0"/>
              <w:snapToGrid w:val="0"/>
              <w:spacing w:line="400" w:lineRule="exact"/>
              <w:jc w:val="center"/>
              <w:rPr>
                <w:rFonts w:ascii="楷体" w:hAnsi="楷体" w:eastAsia="楷体" w:cs="楷体"/>
              </w:rPr>
            </w:pPr>
            <w:r>
              <w:rPr>
                <w:rFonts w:hint="eastAsia" w:ascii="楷体" w:hAnsi="楷体" w:eastAsia="楷体" w:cs="楷体"/>
              </w:rPr>
              <w:t>寸碧芸*、杨蕴芝*、崔乐乐*、赵琪#、</w:t>
            </w:r>
          </w:p>
          <w:p>
            <w:pPr>
              <w:adjustRightInd w:val="0"/>
              <w:snapToGrid w:val="0"/>
              <w:spacing w:line="400" w:lineRule="exact"/>
              <w:jc w:val="center"/>
              <w:rPr>
                <w:rFonts w:ascii="楷体" w:hAnsi="楷体" w:eastAsia="楷体" w:cs="楷体"/>
              </w:rPr>
            </w:pPr>
            <w:r>
              <w:rPr>
                <w:rFonts w:hint="eastAsia" w:ascii="楷体" w:hAnsi="楷体" w:eastAsia="楷体" w:cs="楷体"/>
              </w:rPr>
              <w:t>周廷怡#</w:t>
            </w:r>
          </w:p>
        </w:tc>
        <w:tc>
          <w:tcPr>
            <w:tcW w:w="118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2018.11-2023.11</w:t>
            </w:r>
          </w:p>
        </w:tc>
        <w:tc>
          <w:tcPr>
            <w:tcW w:w="141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20</w:t>
            </w:r>
          </w:p>
        </w:tc>
        <w:tc>
          <w:tcPr>
            <w:tcW w:w="70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a类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w:t>
            </w:r>
          </w:p>
        </w:tc>
        <w:tc>
          <w:tcPr>
            <w:tcW w:w="1843"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操作技能直接观察评估（DOPS）在外科动物实验教学中的应用</w:t>
            </w:r>
          </w:p>
        </w:tc>
        <w:tc>
          <w:tcPr>
            <w:tcW w:w="70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color w:val="000000"/>
              </w:rPr>
            </w:pPr>
            <w:r>
              <w:rPr>
                <w:rFonts w:hint="eastAsia" w:ascii="楷体" w:hAnsi="楷体" w:eastAsia="楷体" w:cs="楷体"/>
              </w:rPr>
              <w:t>2019-JY-Y-021</w:t>
            </w:r>
          </w:p>
        </w:tc>
        <w:tc>
          <w:tcPr>
            <w:tcW w:w="94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郭峰</w:t>
            </w:r>
          </w:p>
        </w:tc>
        <w:tc>
          <w:tcPr>
            <w:tcW w:w="12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杨玉萍</w:t>
            </w:r>
          </w:p>
          <w:p>
            <w:pPr>
              <w:adjustRightInd w:val="0"/>
              <w:snapToGrid w:val="0"/>
              <w:spacing w:line="400" w:lineRule="exact"/>
              <w:jc w:val="center"/>
              <w:rPr>
                <w:rFonts w:ascii="楷体" w:hAnsi="楷体" w:eastAsia="楷体" w:cs="楷体"/>
              </w:rPr>
            </w:pPr>
            <w:r>
              <w:rPr>
                <w:rFonts w:hint="eastAsia" w:ascii="楷体" w:hAnsi="楷体" w:eastAsia="楷体" w:cs="楷体"/>
              </w:rPr>
              <w:t>杨蕴芝*</w:t>
            </w:r>
          </w:p>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p>
            <w:pPr>
              <w:adjustRightInd w:val="0"/>
              <w:snapToGrid w:val="0"/>
              <w:spacing w:line="400" w:lineRule="exact"/>
              <w:jc w:val="center"/>
              <w:rPr>
                <w:rFonts w:ascii="楷体" w:hAnsi="楷体" w:eastAsia="楷体" w:cs="楷体"/>
              </w:rPr>
            </w:pPr>
            <w:r>
              <w:rPr>
                <w:rFonts w:hint="eastAsia" w:ascii="楷体" w:hAnsi="楷体" w:eastAsia="楷体" w:cs="楷体"/>
              </w:rPr>
              <w:t>杨晖*</w:t>
            </w:r>
          </w:p>
        </w:tc>
        <w:tc>
          <w:tcPr>
            <w:tcW w:w="118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2019.11-2021.11</w:t>
            </w:r>
          </w:p>
        </w:tc>
        <w:tc>
          <w:tcPr>
            <w:tcW w:w="141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0.5</w:t>
            </w:r>
          </w:p>
        </w:tc>
        <w:tc>
          <w:tcPr>
            <w:tcW w:w="70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a类</w:t>
            </w:r>
          </w:p>
        </w:tc>
      </w:tr>
    </w:tbl>
    <w:p>
      <w:pPr>
        <w:spacing w:before="163" w:beforeLines="50"/>
        <w:ind w:left="2" w:leftChars="1" w:firstLine="480" w:firstLineChars="200"/>
        <w:rPr>
          <w:rFonts w:ascii="楷体" w:hAnsi="楷体" w:eastAsia="楷体" w:cs="仿宋_GB2312"/>
        </w:rPr>
      </w:pPr>
      <w:r>
        <w:rPr>
          <w:rFonts w:hint="eastAsia" w:ascii="楷体" w:hAnsi="楷体" w:eastAsia="楷体"/>
          <w:bCs/>
        </w:rPr>
        <w:t>注：</w:t>
      </w:r>
      <w:r>
        <w:rPr>
          <w:rFonts w:hint="eastAsia" w:ascii="楷体" w:hAnsi="楷体" w:eastAsia="楷体"/>
        </w:rPr>
        <w:t>（1）此表填写省部级以上教学改革项目</w:t>
      </w:r>
      <w:r>
        <w:rPr>
          <w:rFonts w:ascii="楷体" w:hAnsi="楷体" w:eastAsia="楷体"/>
          <w:bCs/>
        </w:rPr>
        <w:t>（课题）名称：</w:t>
      </w:r>
      <w:r>
        <w:rPr>
          <w:rFonts w:ascii="楷体" w:hAnsi="楷体" w:eastAsia="楷体" w:cs="仿宋_GB2312"/>
        </w:rPr>
        <w:t>项目管理部门下达的有正式文号的最小一级子课题名称。</w:t>
      </w:r>
      <w:r>
        <w:rPr>
          <w:rFonts w:hint="eastAsia" w:ascii="楷体" w:hAnsi="楷体" w:eastAsia="楷体" w:cs="仿宋_GB2312"/>
        </w:rPr>
        <w:t>（2）</w:t>
      </w:r>
      <w:r>
        <w:rPr>
          <w:rFonts w:ascii="楷体" w:hAnsi="楷体" w:eastAsia="楷体" w:cs="仿宋_GB2312"/>
          <w:bCs/>
        </w:rPr>
        <w:t>文号：</w:t>
      </w:r>
      <w:r>
        <w:rPr>
          <w:rFonts w:ascii="楷体" w:hAnsi="楷体" w:eastAsia="楷体" w:cs="仿宋_GB2312"/>
        </w:rPr>
        <w:t>项目管理部门下达文件的文号。</w:t>
      </w:r>
      <w:r>
        <w:rPr>
          <w:rFonts w:hint="eastAsia" w:ascii="楷体" w:hAnsi="楷体" w:eastAsia="楷体" w:cs="仿宋_GB2312"/>
        </w:rPr>
        <w:t>（3）</w:t>
      </w:r>
      <w:r>
        <w:rPr>
          <w:rFonts w:ascii="楷体" w:hAnsi="楷体" w:eastAsia="楷体" w:cs="仿宋_GB2312"/>
        </w:rPr>
        <w:t>负责人：必须是中心固定人员。</w:t>
      </w:r>
      <w:r>
        <w:rPr>
          <w:rFonts w:hint="eastAsia" w:ascii="楷体" w:hAnsi="楷体" w:eastAsia="楷体" w:cs="仿宋_GB2312"/>
        </w:rPr>
        <w:t>（4）</w:t>
      </w:r>
      <w:r>
        <w:rPr>
          <w:rFonts w:ascii="楷体" w:hAnsi="楷体" w:eastAsia="楷体" w:cs="宋体"/>
          <w:bCs/>
        </w:rPr>
        <w:t>参加人员：</w:t>
      </w:r>
      <w:r>
        <w:rPr>
          <w:rFonts w:ascii="楷体" w:hAnsi="楷体" w:eastAsia="楷体" w:cs="宋体"/>
        </w:rPr>
        <w:t>所有参加人员，</w:t>
      </w:r>
      <w:r>
        <w:rPr>
          <w:rFonts w:ascii="楷体" w:hAnsi="楷体" w:eastAsia="楷体"/>
        </w:rPr>
        <w:t>其中研究生、博士后名字后标注*，非本中心人员名字后标注＃。</w:t>
      </w:r>
      <w:r>
        <w:rPr>
          <w:rFonts w:hint="eastAsia" w:ascii="楷体" w:hAnsi="楷体" w:eastAsia="楷体"/>
        </w:rPr>
        <w:t>（5）</w:t>
      </w:r>
      <w:r>
        <w:rPr>
          <w:rFonts w:hint="eastAsia" w:ascii="楷体" w:hAnsi="楷体" w:eastAsia="楷体"/>
          <w:bCs/>
        </w:rPr>
        <w:t>经费：</w:t>
      </w:r>
      <w:r>
        <w:rPr>
          <w:rFonts w:hint="eastAsia" w:ascii="楷体" w:hAnsi="楷体" w:eastAsia="楷体" w:cs="仿宋_GB2312"/>
        </w:rPr>
        <w:t>指示范中心本年度实际到账的研究经费。（6）</w:t>
      </w:r>
      <w:r>
        <w:rPr>
          <w:rFonts w:hint="eastAsia" w:ascii="楷体" w:hAnsi="楷体" w:eastAsia="楷体" w:cs="宋体"/>
          <w:bCs/>
        </w:rPr>
        <w:t>类别：</w:t>
      </w:r>
      <w:r>
        <w:rPr>
          <w:rFonts w:hint="eastAsia" w:ascii="楷体" w:hAnsi="楷体" w:eastAsia="楷体" w:cs="仿宋_GB2312"/>
        </w:rPr>
        <w:t>分为</w:t>
      </w:r>
      <w:r>
        <w:rPr>
          <w:rFonts w:ascii="楷体" w:hAnsi="楷体" w:eastAsia="楷体"/>
        </w:rPr>
        <w:t>a、b</w:t>
      </w:r>
      <w:r>
        <w:rPr>
          <w:rFonts w:hint="eastAsia" w:ascii="楷体" w:hAnsi="楷体" w:eastAsia="楷体" w:cs="仿宋_GB2312"/>
        </w:rPr>
        <w:t>两类，</w:t>
      </w:r>
      <w:r>
        <w:rPr>
          <w:rFonts w:ascii="楷体" w:hAnsi="楷体" w:eastAsia="楷体"/>
        </w:rPr>
        <w:t>a</w:t>
      </w:r>
      <w:r>
        <w:rPr>
          <w:rFonts w:hint="eastAsia" w:ascii="楷体" w:hAnsi="楷体" w:eastAsia="楷体" w:cs="仿宋_GB2312"/>
        </w:rPr>
        <w:t>类课题指以示范中心为主的课题；</w:t>
      </w:r>
      <w:r>
        <w:rPr>
          <w:rFonts w:ascii="楷体" w:hAnsi="楷体" w:eastAsia="楷体"/>
        </w:rPr>
        <w:t>b</w:t>
      </w:r>
      <w:r>
        <w:rPr>
          <w:rFonts w:hint="eastAsia" w:ascii="楷体" w:hAnsi="楷体" w:eastAsia="楷体" w:cs="仿宋_GB2312"/>
        </w:rPr>
        <w:t>类课题指</w:t>
      </w:r>
      <w:r>
        <w:rPr>
          <w:rFonts w:hint="eastAsia" w:ascii="楷体" w:hAnsi="楷体" w:eastAsia="楷体"/>
        </w:rPr>
        <w:t>本示范中心协同其他单位研究的课题</w:t>
      </w:r>
      <w:r>
        <w:rPr>
          <w:rFonts w:hint="eastAsia" w:ascii="楷体" w:hAnsi="楷体" w:eastAsia="楷体" w:cs="仿宋_GB2312"/>
        </w:rPr>
        <w:t>。</w:t>
      </w:r>
    </w:p>
    <w:p>
      <w:pPr>
        <w:spacing w:before="163" w:after="163" w:line="360" w:lineRule="auto"/>
        <w:ind w:firstLine="560" w:firstLineChars="200"/>
        <w:rPr>
          <w:rFonts w:ascii="黑体" w:hAnsi="黑体" w:eastAsia="黑体"/>
          <w:bCs/>
          <w:sz w:val="28"/>
          <w:szCs w:val="28"/>
        </w:rPr>
      </w:pPr>
      <w:r>
        <w:rPr>
          <w:rFonts w:hint="eastAsia" w:ascii="黑体" w:hAnsi="黑体" w:eastAsia="黑体" w:cs="仿宋_GB2312"/>
          <w:sz w:val="28"/>
          <w:szCs w:val="28"/>
        </w:rPr>
        <w:t>（二）</w:t>
      </w:r>
      <w:r>
        <w:rPr>
          <w:rFonts w:hint="eastAsia" w:ascii="黑体" w:hAnsi="黑体" w:eastAsia="黑体" w:cs="仿宋_GB2312"/>
          <w:bCs/>
          <w:sz w:val="28"/>
          <w:szCs w:val="28"/>
        </w:rPr>
        <w:t>承担科研任务及经费</w:t>
      </w:r>
    </w:p>
    <w:tbl>
      <w:tblPr>
        <w:tblStyle w:val="6"/>
        <w:tblW w:w="87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0"/>
        <w:gridCol w:w="1843"/>
        <w:gridCol w:w="708"/>
        <w:gridCol w:w="945"/>
        <w:gridCol w:w="1182"/>
        <w:gridCol w:w="1275"/>
        <w:gridCol w:w="1418"/>
        <w:gridCol w:w="7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序号</w:t>
            </w:r>
          </w:p>
        </w:tc>
        <w:tc>
          <w:tcPr>
            <w:tcW w:w="184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项目</w:t>
            </w:r>
            <w:r>
              <w:rPr>
                <w:rFonts w:ascii="黑体" w:hAnsi="黑体" w:eastAsia="黑体" w:cs="黑体"/>
              </w:rPr>
              <w:t>/</w:t>
            </w:r>
            <w:r>
              <w:rPr>
                <w:rFonts w:hint="eastAsia" w:ascii="黑体" w:hAnsi="黑体" w:eastAsia="黑体" w:cs="黑体"/>
              </w:rPr>
              <w:t>课题名称</w:t>
            </w:r>
          </w:p>
        </w:tc>
        <w:tc>
          <w:tcPr>
            <w:tcW w:w="70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文号</w:t>
            </w:r>
          </w:p>
        </w:tc>
        <w:tc>
          <w:tcPr>
            <w:tcW w:w="94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负责人</w:t>
            </w:r>
          </w:p>
        </w:tc>
        <w:tc>
          <w:tcPr>
            <w:tcW w:w="118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参加人员</w:t>
            </w: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起止时间</w:t>
            </w:r>
          </w:p>
        </w:tc>
        <w:tc>
          <w:tcPr>
            <w:tcW w:w="141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经费（万元）</w:t>
            </w: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left"/>
              <w:rPr>
                <w:rFonts w:ascii="楷体" w:hAnsi="楷体" w:eastAsia="楷体" w:cs="楷体"/>
              </w:rPr>
            </w:pPr>
            <w:r>
              <w:rPr>
                <w:rFonts w:hint="eastAsia" w:ascii="楷体" w:hAnsi="楷体" w:eastAsia="楷体" w:cs="楷体"/>
              </w:rPr>
              <w:t>1</w:t>
            </w:r>
          </w:p>
        </w:tc>
        <w:tc>
          <w:tcPr>
            <w:tcW w:w="1843"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新建围绝经期模型及自发糖尿病异常蛋白芯片研究</w:t>
            </w:r>
          </w:p>
        </w:tc>
        <w:tc>
          <w:tcPr>
            <w:tcW w:w="70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31761200</w:t>
            </w:r>
          </w:p>
        </w:tc>
        <w:tc>
          <w:tcPr>
            <w:tcW w:w="94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陈丽玲</w:t>
            </w:r>
          </w:p>
        </w:tc>
        <w:tc>
          <w:tcPr>
            <w:tcW w:w="1182"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杨玉萍、刘汝、</w:t>
            </w:r>
          </w:p>
          <w:p>
            <w:pPr>
              <w:adjustRightInd w:val="0"/>
              <w:snapToGrid w:val="0"/>
              <w:spacing w:line="400" w:lineRule="exact"/>
              <w:jc w:val="left"/>
              <w:rPr>
                <w:rFonts w:ascii="楷体" w:hAnsi="楷体" w:eastAsia="楷体" w:cs="楷体"/>
              </w:rPr>
            </w:pPr>
            <w:r>
              <w:rPr>
                <w:rFonts w:hint="eastAsia" w:ascii="楷体" w:hAnsi="楷体" w:eastAsia="楷体" w:cs="楷体"/>
              </w:rPr>
              <w:t>杨晖、</w:t>
            </w:r>
          </w:p>
          <w:p>
            <w:pPr>
              <w:adjustRightInd w:val="0"/>
              <w:snapToGrid w:val="0"/>
              <w:spacing w:line="400" w:lineRule="exact"/>
              <w:jc w:val="left"/>
              <w:rPr>
                <w:rFonts w:ascii="楷体" w:hAnsi="楷体" w:eastAsia="楷体" w:cs="楷体"/>
              </w:rPr>
            </w:pPr>
            <w:r>
              <w:rPr>
                <w:rFonts w:hint="eastAsia" w:ascii="楷体" w:hAnsi="楷体" w:eastAsia="楷体" w:cs="楷体"/>
              </w:rPr>
              <w:t>郭峰、</w:t>
            </w:r>
          </w:p>
          <w:p>
            <w:pPr>
              <w:adjustRightInd w:val="0"/>
              <w:snapToGrid w:val="0"/>
              <w:spacing w:line="400" w:lineRule="exact"/>
              <w:jc w:val="left"/>
              <w:rPr>
                <w:rFonts w:ascii="楷体" w:hAnsi="楷体" w:eastAsia="楷体" w:cs="楷体"/>
              </w:rPr>
            </w:pPr>
            <w:r>
              <w:rPr>
                <w:rFonts w:hint="eastAsia" w:ascii="楷体" w:hAnsi="楷体" w:eastAsia="楷体" w:cs="楷体"/>
              </w:rPr>
              <w:t>郭艳、</w:t>
            </w:r>
          </w:p>
          <w:p>
            <w:pPr>
              <w:adjustRightInd w:val="0"/>
              <w:snapToGrid w:val="0"/>
              <w:spacing w:line="400" w:lineRule="exact"/>
              <w:jc w:val="left"/>
              <w:rPr>
                <w:rFonts w:ascii="楷体" w:hAnsi="楷体" w:eastAsia="楷体" w:cs="楷体"/>
              </w:rPr>
            </w:pPr>
            <w:r>
              <w:rPr>
                <w:rFonts w:hint="eastAsia" w:ascii="楷体" w:hAnsi="楷体" w:eastAsia="楷体" w:cs="楷体"/>
              </w:rPr>
              <w:t>罗宁、</w:t>
            </w:r>
          </w:p>
          <w:p>
            <w:pPr>
              <w:adjustRightInd w:val="0"/>
              <w:snapToGrid w:val="0"/>
              <w:spacing w:line="400" w:lineRule="exact"/>
              <w:jc w:val="left"/>
              <w:rPr>
                <w:rFonts w:ascii="楷体" w:hAnsi="楷体" w:eastAsia="楷体" w:cs="楷体"/>
              </w:rPr>
            </w:pPr>
            <w:r>
              <w:rPr>
                <w:rFonts w:hint="eastAsia" w:ascii="楷体" w:hAnsi="楷体" w:eastAsia="楷体" w:cs="楷体"/>
              </w:rPr>
              <w:t>杨蕴芝、</w:t>
            </w:r>
          </w:p>
          <w:p>
            <w:pPr>
              <w:adjustRightInd w:val="0"/>
              <w:snapToGrid w:val="0"/>
              <w:spacing w:line="400" w:lineRule="exact"/>
              <w:jc w:val="left"/>
              <w:rPr>
                <w:rFonts w:ascii="楷体" w:hAnsi="楷体" w:eastAsia="楷体" w:cs="楷体"/>
              </w:rPr>
            </w:pPr>
            <w:r>
              <w:rPr>
                <w:rFonts w:hint="eastAsia" w:ascii="楷体" w:hAnsi="楷体" w:eastAsia="楷体" w:cs="楷体"/>
              </w:rPr>
              <w:t>张玉、</w:t>
            </w:r>
          </w:p>
          <w:p>
            <w:pPr>
              <w:adjustRightInd w:val="0"/>
              <w:snapToGrid w:val="0"/>
              <w:spacing w:line="400" w:lineRule="exact"/>
              <w:jc w:val="left"/>
              <w:rPr>
                <w:rFonts w:ascii="楷体" w:hAnsi="楷体" w:eastAsia="楷体" w:cs="楷体"/>
              </w:rPr>
            </w:pPr>
            <w:r>
              <w:rPr>
                <w:rFonts w:hint="eastAsia" w:ascii="楷体" w:hAnsi="楷体" w:eastAsia="楷体" w:cs="楷体"/>
              </w:rPr>
              <w:t>赵亚林</w:t>
            </w:r>
          </w:p>
        </w:tc>
        <w:tc>
          <w:tcPr>
            <w:tcW w:w="127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2017.1-2020.12</w:t>
            </w:r>
          </w:p>
        </w:tc>
        <w:tc>
          <w:tcPr>
            <w:tcW w:w="141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43.42</w:t>
            </w:r>
          </w:p>
        </w:tc>
        <w:tc>
          <w:tcPr>
            <w:tcW w:w="70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a类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left"/>
              <w:rPr>
                <w:rFonts w:ascii="楷体" w:hAnsi="楷体" w:eastAsia="楷体" w:cs="楷体"/>
              </w:rPr>
            </w:pPr>
            <w:r>
              <w:rPr>
                <w:rFonts w:hint="eastAsia" w:ascii="楷体" w:hAnsi="楷体" w:eastAsia="楷体" w:cs="楷体"/>
              </w:rPr>
              <w:t>2</w:t>
            </w:r>
          </w:p>
        </w:tc>
        <w:tc>
          <w:tcPr>
            <w:tcW w:w="1843"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医学生医学人文素质培养的实效性研究</w:t>
            </w:r>
          </w:p>
        </w:tc>
        <w:tc>
          <w:tcPr>
            <w:tcW w:w="70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color w:val="000000"/>
                <w:kern w:val="0"/>
                <w:lang w:bidi="ar"/>
              </w:rPr>
              <w:t>2016ZZX100</w:t>
            </w:r>
          </w:p>
        </w:tc>
        <w:tc>
          <w:tcPr>
            <w:tcW w:w="94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杨晖</w:t>
            </w:r>
          </w:p>
        </w:tc>
        <w:tc>
          <w:tcPr>
            <w:tcW w:w="1182"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杨玉萍、寸碧芸、郭峰、</w:t>
            </w:r>
          </w:p>
          <w:p>
            <w:pPr>
              <w:adjustRightInd w:val="0"/>
              <w:snapToGrid w:val="0"/>
              <w:spacing w:line="400" w:lineRule="exact"/>
              <w:jc w:val="left"/>
              <w:rPr>
                <w:rFonts w:ascii="楷体" w:hAnsi="楷体" w:eastAsia="楷体" w:cs="楷体"/>
              </w:rPr>
            </w:pPr>
            <w:r>
              <w:rPr>
                <w:rFonts w:hint="eastAsia" w:ascii="楷体" w:hAnsi="楷体" w:eastAsia="楷体" w:cs="楷体"/>
              </w:rPr>
              <w:t>赵文兰、杨蕴芝、高波、</w:t>
            </w:r>
          </w:p>
          <w:p>
            <w:pPr>
              <w:adjustRightInd w:val="0"/>
              <w:snapToGrid w:val="0"/>
              <w:spacing w:line="400" w:lineRule="exact"/>
              <w:jc w:val="left"/>
              <w:rPr>
                <w:rFonts w:ascii="楷体" w:hAnsi="楷体" w:eastAsia="楷体" w:cs="楷体"/>
              </w:rPr>
            </w:pPr>
            <w:r>
              <w:rPr>
                <w:rFonts w:hint="eastAsia" w:ascii="楷体" w:hAnsi="楷体" w:eastAsia="楷体" w:cs="楷体"/>
              </w:rPr>
              <w:t>姚璐</w:t>
            </w:r>
          </w:p>
        </w:tc>
        <w:tc>
          <w:tcPr>
            <w:tcW w:w="127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2016.6-20</w:t>
            </w:r>
            <w:r>
              <w:rPr>
                <w:rFonts w:hint="eastAsia" w:ascii="楷体" w:hAnsi="楷体" w:eastAsia="楷体" w:cs="楷体"/>
                <w:lang w:val="en-US" w:eastAsia="zh-CN"/>
              </w:rPr>
              <w:t>20</w:t>
            </w:r>
            <w:r>
              <w:rPr>
                <w:rFonts w:hint="eastAsia" w:ascii="楷体" w:hAnsi="楷体" w:eastAsia="楷体" w:cs="楷体"/>
              </w:rPr>
              <w:t>.12</w:t>
            </w:r>
          </w:p>
        </w:tc>
        <w:tc>
          <w:tcPr>
            <w:tcW w:w="141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2</w:t>
            </w:r>
          </w:p>
        </w:tc>
        <w:tc>
          <w:tcPr>
            <w:tcW w:w="70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a类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left"/>
              <w:rPr>
                <w:rFonts w:ascii="楷体" w:hAnsi="楷体" w:eastAsia="楷体" w:cs="楷体"/>
              </w:rPr>
            </w:pPr>
            <w:r>
              <w:rPr>
                <w:rFonts w:hint="eastAsia" w:ascii="楷体" w:hAnsi="楷体" w:eastAsia="楷体" w:cs="楷体"/>
              </w:rPr>
              <w:t>3</w:t>
            </w:r>
          </w:p>
        </w:tc>
        <w:tc>
          <w:tcPr>
            <w:tcW w:w="1843"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女性围绝经期自发二型糖尿病模型探索</w:t>
            </w:r>
          </w:p>
        </w:tc>
        <w:tc>
          <w:tcPr>
            <w:tcW w:w="70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color w:val="000000"/>
                <w:kern w:val="0"/>
                <w:lang w:bidi="ar"/>
              </w:rPr>
            </w:pPr>
            <w:r>
              <w:rPr>
                <w:rFonts w:hint="eastAsia" w:ascii="楷体" w:hAnsi="楷体" w:eastAsia="楷体" w:cs="楷体"/>
                <w:color w:val="000000"/>
                <w:kern w:val="0"/>
                <w:lang w:bidi="ar"/>
              </w:rPr>
              <w:t>2018JS190</w:t>
            </w:r>
          </w:p>
        </w:tc>
        <w:tc>
          <w:tcPr>
            <w:tcW w:w="94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郭艳</w:t>
            </w:r>
          </w:p>
        </w:tc>
        <w:tc>
          <w:tcPr>
            <w:tcW w:w="1182"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杨玉萍、</w:t>
            </w:r>
          </w:p>
          <w:p>
            <w:pPr>
              <w:adjustRightInd w:val="0"/>
              <w:snapToGrid w:val="0"/>
              <w:spacing w:line="400" w:lineRule="exact"/>
              <w:jc w:val="left"/>
              <w:rPr>
                <w:rFonts w:ascii="楷体" w:hAnsi="楷体" w:eastAsia="楷体" w:cs="楷体"/>
              </w:rPr>
            </w:pPr>
            <w:r>
              <w:rPr>
                <w:rFonts w:hint="eastAsia" w:ascii="楷体" w:hAnsi="楷体" w:eastAsia="楷体" w:cs="楷体"/>
              </w:rPr>
              <w:t>陈丽玲、</w:t>
            </w:r>
          </w:p>
          <w:p>
            <w:pPr>
              <w:adjustRightInd w:val="0"/>
              <w:snapToGrid w:val="0"/>
              <w:spacing w:line="400" w:lineRule="exact"/>
              <w:jc w:val="left"/>
              <w:rPr>
                <w:rFonts w:ascii="楷体" w:hAnsi="楷体" w:eastAsia="楷体" w:cs="楷体"/>
              </w:rPr>
            </w:pPr>
            <w:r>
              <w:rPr>
                <w:rFonts w:hint="eastAsia" w:ascii="楷体" w:hAnsi="楷体" w:eastAsia="楷体" w:cs="楷体"/>
              </w:rPr>
              <w:t>刘汝文、</w:t>
            </w:r>
          </w:p>
          <w:p>
            <w:pPr>
              <w:adjustRightInd w:val="0"/>
              <w:snapToGrid w:val="0"/>
              <w:spacing w:line="400" w:lineRule="exact"/>
              <w:jc w:val="left"/>
              <w:rPr>
                <w:rFonts w:ascii="楷体" w:hAnsi="楷体" w:eastAsia="楷体" w:cs="楷体"/>
              </w:rPr>
            </w:pPr>
            <w:r>
              <w:rPr>
                <w:rFonts w:hint="eastAsia" w:ascii="楷体" w:hAnsi="楷体" w:eastAsia="楷体" w:cs="楷体"/>
              </w:rPr>
              <w:t>段红艳、</w:t>
            </w:r>
          </w:p>
          <w:p>
            <w:pPr>
              <w:adjustRightInd w:val="0"/>
              <w:snapToGrid w:val="0"/>
              <w:spacing w:line="400" w:lineRule="exact"/>
              <w:jc w:val="left"/>
              <w:rPr>
                <w:rFonts w:ascii="楷体" w:hAnsi="楷体" w:eastAsia="楷体" w:cs="楷体"/>
              </w:rPr>
            </w:pPr>
            <w:r>
              <w:rPr>
                <w:rFonts w:hint="eastAsia" w:ascii="楷体" w:hAnsi="楷体" w:eastAsia="楷体" w:cs="楷体"/>
              </w:rPr>
              <w:t>罗宁、</w:t>
            </w:r>
          </w:p>
          <w:p>
            <w:pPr>
              <w:adjustRightInd w:val="0"/>
              <w:snapToGrid w:val="0"/>
              <w:spacing w:line="400" w:lineRule="exact"/>
              <w:jc w:val="left"/>
              <w:rPr>
                <w:rFonts w:ascii="楷体" w:hAnsi="楷体" w:eastAsia="楷体" w:cs="楷体"/>
              </w:rPr>
            </w:pPr>
            <w:r>
              <w:rPr>
                <w:rFonts w:hint="eastAsia" w:ascii="楷体" w:hAnsi="楷体" w:eastAsia="楷体" w:cs="楷体"/>
              </w:rPr>
              <w:t>寸碧芸、</w:t>
            </w:r>
          </w:p>
          <w:p>
            <w:pPr>
              <w:adjustRightInd w:val="0"/>
              <w:snapToGrid w:val="0"/>
              <w:spacing w:line="400" w:lineRule="exact"/>
              <w:jc w:val="left"/>
              <w:rPr>
                <w:rFonts w:ascii="楷体" w:hAnsi="楷体" w:eastAsia="楷体" w:cs="楷体"/>
              </w:rPr>
            </w:pPr>
            <w:r>
              <w:rPr>
                <w:rFonts w:hint="eastAsia" w:ascii="楷体" w:hAnsi="楷体" w:eastAsia="楷体" w:cs="楷体"/>
              </w:rPr>
              <w:t>杨晖、</w:t>
            </w:r>
          </w:p>
          <w:p>
            <w:pPr>
              <w:adjustRightInd w:val="0"/>
              <w:snapToGrid w:val="0"/>
              <w:spacing w:line="400" w:lineRule="exact"/>
              <w:jc w:val="left"/>
              <w:rPr>
                <w:rFonts w:ascii="楷体" w:hAnsi="楷体" w:eastAsia="楷体" w:cs="楷体"/>
              </w:rPr>
            </w:pPr>
            <w:r>
              <w:rPr>
                <w:rFonts w:hint="eastAsia" w:ascii="楷体" w:hAnsi="楷体" w:eastAsia="楷体" w:cs="楷体"/>
              </w:rPr>
              <w:t>郭峰、</w:t>
            </w:r>
          </w:p>
          <w:p>
            <w:pPr>
              <w:adjustRightInd w:val="0"/>
              <w:snapToGrid w:val="0"/>
              <w:spacing w:line="400" w:lineRule="exact"/>
              <w:jc w:val="left"/>
              <w:rPr>
                <w:rFonts w:ascii="楷体" w:hAnsi="楷体" w:eastAsia="楷体" w:cs="楷体"/>
              </w:rPr>
            </w:pPr>
            <w:r>
              <w:rPr>
                <w:rFonts w:hint="eastAsia" w:ascii="楷体" w:hAnsi="楷体" w:eastAsia="楷体" w:cs="楷体"/>
              </w:rPr>
              <w:t>杨蕴芝</w:t>
            </w:r>
          </w:p>
        </w:tc>
        <w:tc>
          <w:tcPr>
            <w:tcW w:w="127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2018.5-2021.3</w:t>
            </w:r>
          </w:p>
        </w:tc>
        <w:tc>
          <w:tcPr>
            <w:tcW w:w="141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4</w:t>
            </w:r>
          </w:p>
        </w:tc>
        <w:tc>
          <w:tcPr>
            <w:tcW w:w="70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left"/>
              <w:rPr>
                <w:rFonts w:ascii="楷体" w:hAnsi="楷体" w:eastAsia="楷体" w:cs="楷体"/>
              </w:rPr>
            </w:pPr>
            <w:r>
              <w:rPr>
                <w:rFonts w:hint="eastAsia" w:ascii="楷体" w:hAnsi="楷体" w:eastAsia="楷体" w:cs="楷体"/>
              </w:rPr>
              <w:t>a类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4</w:t>
            </w:r>
          </w:p>
        </w:tc>
        <w:tc>
          <w:tcPr>
            <w:tcW w:w="1843"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牛磺酸对树鼩繁殖和抗氧化作用研究</w:t>
            </w:r>
          </w:p>
        </w:tc>
        <w:tc>
          <w:tcPr>
            <w:tcW w:w="70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2019FE001(-027)</w:t>
            </w:r>
          </w:p>
        </w:tc>
        <w:tc>
          <w:tcPr>
            <w:tcW w:w="94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tc>
        <w:tc>
          <w:tcPr>
            <w:tcW w:w="118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127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2019.10-2022.10</w:t>
            </w:r>
          </w:p>
        </w:tc>
        <w:tc>
          <w:tcPr>
            <w:tcW w:w="141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10</w:t>
            </w:r>
          </w:p>
        </w:tc>
        <w:tc>
          <w:tcPr>
            <w:tcW w:w="70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a类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5</w:t>
            </w:r>
          </w:p>
        </w:tc>
        <w:tc>
          <w:tcPr>
            <w:tcW w:w="1843"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溶瘤腺病毒联合化疗对葡萄膜黑色素瘤生长影响的作用机制研究</w:t>
            </w:r>
          </w:p>
        </w:tc>
        <w:tc>
          <w:tcPr>
            <w:tcW w:w="70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2019FE001(-022)</w:t>
            </w:r>
          </w:p>
        </w:tc>
        <w:tc>
          <w:tcPr>
            <w:tcW w:w="94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寸碧芸</w:t>
            </w:r>
          </w:p>
        </w:tc>
        <w:tc>
          <w:tcPr>
            <w:tcW w:w="118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杨银峰*#</w:t>
            </w:r>
          </w:p>
          <w:p>
            <w:pPr>
              <w:adjustRightInd w:val="0"/>
              <w:snapToGrid w:val="0"/>
              <w:spacing w:line="400" w:lineRule="exact"/>
              <w:jc w:val="center"/>
              <w:rPr>
                <w:rFonts w:ascii="楷体" w:hAnsi="楷体" w:eastAsia="楷体" w:cs="楷体"/>
              </w:rPr>
            </w:pPr>
            <w:r>
              <w:rPr>
                <w:rFonts w:hint="eastAsia" w:ascii="楷体" w:hAnsi="楷体" w:eastAsia="楷体" w:cs="楷体"/>
              </w:rPr>
              <w:t>李训*#</w:t>
            </w:r>
          </w:p>
          <w:p>
            <w:pPr>
              <w:adjustRightInd w:val="0"/>
              <w:snapToGrid w:val="0"/>
              <w:spacing w:line="400" w:lineRule="exact"/>
              <w:jc w:val="center"/>
              <w:rPr>
                <w:rFonts w:ascii="楷体" w:hAnsi="楷体" w:eastAsia="楷体" w:cs="楷体"/>
              </w:rPr>
            </w:pPr>
            <w:r>
              <w:rPr>
                <w:rFonts w:hint="eastAsia" w:ascii="楷体" w:hAnsi="楷体" w:eastAsia="楷体" w:cs="楷体"/>
              </w:rPr>
              <w:t>胡航帆*#</w:t>
            </w:r>
          </w:p>
          <w:p>
            <w:pPr>
              <w:adjustRightInd w:val="0"/>
              <w:snapToGrid w:val="0"/>
              <w:spacing w:line="400" w:lineRule="exact"/>
              <w:jc w:val="center"/>
              <w:rPr>
                <w:rFonts w:ascii="楷体" w:hAnsi="楷体" w:eastAsia="楷体" w:cs="楷体"/>
              </w:rPr>
            </w:pPr>
            <w:r>
              <w:rPr>
                <w:rFonts w:hint="eastAsia" w:ascii="楷体" w:hAnsi="楷体" w:eastAsia="楷体" w:cs="楷体"/>
              </w:rPr>
              <w:t>徐旋*#</w:t>
            </w:r>
          </w:p>
          <w:p>
            <w:pPr>
              <w:adjustRightInd w:val="0"/>
              <w:snapToGrid w:val="0"/>
              <w:spacing w:line="400" w:lineRule="exact"/>
              <w:jc w:val="center"/>
              <w:rPr>
                <w:rFonts w:ascii="楷体" w:hAnsi="楷体" w:eastAsia="楷体" w:cs="楷体"/>
              </w:rPr>
            </w:pPr>
            <w:r>
              <w:rPr>
                <w:rFonts w:hint="eastAsia" w:ascii="楷体" w:hAnsi="楷体" w:eastAsia="楷体" w:cs="楷体"/>
              </w:rPr>
              <w:t>张留影*#</w:t>
            </w:r>
          </w:p>
        </w:tc>
        <w:tc>
          <w:tcPr>
            <w:tcW w:w="1275"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2019.10-2022.10</w:t>
            </w:r>
          </w:p>
        </w:tc>
        <w:tc>
          <w:tcPr>
            <w:tcW w:w="1418"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10</w:t>
            </w:r>
          </w:p>
        </w:tc>
        <w:tc>
          <w:tcPr>
            <w:tcW w:w="709" w:type="dxa"/>
            <w:tcBorders>
              <w:top w:val="single" w:color="auto" w:sz="6" w:space="0"/>
              <w:left w:val="single" w:color="auto" w:sz="6" w:space="0"/>
              <w:bottom w:val="single" w:color="auto" w:sz="6" w:space="0"/>
              <w:right w:val="single" w:color="auto" w:sz="6" w:space="0"/>
            </w:tcBorders>
          </w:tcPr>
          <w:p>
            <w:pPr>
              <w:adjustRightInd w:val="0"/>
              <w:snapToGrid w:val="0"/>
              <w:spacing w:line="400" w:lineRule="exact"/>
              <w:jc w:val="center"/>
              <w:rPr>
                <w:rFonts w:ascii="楷体" w:hAnsi="楷体" w:eastAsia="楷体" w:cs="楷体"/>
              </w:rPr>
            </w:pPr>
            <w:r>
              <w:rPr>
                <w:rFonts w:hint="eastAsia" w:ascii="楷体" w:hAnsi="楷体" w:eastAsia="楷体" w:cs="楷体"/>
              </w:rPr>
              <w:t>a类</w:t>
            </w:r>
          </w:p>
        </w:tc>
      </w:tr>
    </w:tbl>
    <w:p>
      <w:pPr>
        <w:spacing w:before="163" w:beforeLines="50"/>
        <w:ind w:left="2" w:leftChars="1" w:firstLine="480" w:firstLineChars="200"/>
        <w:rPr>
          <w:rFonts w:ascii="楷体" w:hAnsi="楷体" w:eastAsia="楷体" w:cs="仿宋_GB2312"/>
        </w:rPr>
      </w:pPr>
      <w:r>
        <w:rPr>
          <w:rFonts w:hint="eastAsia" w:ascii="楷体" w:hAnsi="楷体" w:eastAsia="楷体"/>
          <w:bCs/>
        </w:rPr>
        <w:t>注：</w:t>
      </w:r>
      <w:r>
        <w:rPr>
          <w:rFonts w:hint="eastAsia" w:ascii="楷体" w:hAnsi="楷体" w:eastAsia="楷体"/>
        </w:rPr>
        <w:t>此表填写省部级以上科研项目（课题）。</w:t>
      </w:r>
    </w:p>
    <w:p>
      <w:pPr>
        <w:spacing w:before="163" w:after="163" w:line="360" w:lineRule="auto"/>
        <w:ind w:firstLine="560" w:firstLineChars="200"/>
        <w:rPr>
          <w:rFonts w:ascii="黑体" w:hAnsi="黑体" w:eastAsia="黑体" w:cs="仿宋_GB2312"/>
          <w:bCs/>
          <w:sz w:val="28"/>
          <w:szCs w:val="28"/>
        </w:rPr>
      </w:pPr>
      <w:r>
        <w:rPr>
          <w:rFonts w:hint="eastAsia" w:ascii="黑体" w:hAnsi="黑体" w:eastAsia="黑体" w:cs="宋体"/>
          <w:sz w:val="28"/>
          <w:szCs w:val="28"/>
        </w:rPr>
        <w:t>（三）</w:t>
      </w:r>
      <w:r>
        <w:rPr>
          <w:rFonts w:hint="eastAsia" w:ascii="黑体" w:hAnsi="黑体" w:eastAsia="黑体" w:cs="仿宋_GB2312"/>
          <w:bCs/>
          <w:sz w:val="28"/>
          <w:szCs w:val="28"/>
        </w:rPr>
        <w:t>研究成果</w:t>
      </w:r>
    </w:p>
    <w:p>
      <w:pPr>
        <w:spacing w:before="163" w:after="163" w:line="360" w:lineRule="auto"/>
        <w:ind w:firstLine="480" w:firstLineChars="200"/>
        <w:rPr>
          <w:rFonts w:ascii="黑体" w:hAnsi="黑体" w:eastAsia="黑体"/>
        </w:rPr>
      </w:pPr>
      <w:r>
        <w:rPr>
          <w:rFonts w:hint="eastAsia" w:ascii="黑体" w:hAnsi="黑体" w:eastAsia="黑体" w:cs="仿宋_GB2312"/>
        </w:rPr>
        <w:t>1.专利情况</w:t>
      </w:r>
    </w:p>
    <w:tbl>
      <w:tblPr>
        <w:tblStyle w:val="6"/>
        <w:tblW w:w="851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71"/>
        <w:gridCol w:w="1605"/>
        <w:gridCol w:w="1785"/>
        <w:gridCol w:w="750"/>
        <w:gridCol w:w="990"/>
        <w:gridCol w:w="660"/>
        <w:gridCol w:w="225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471"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序号</w:t>
            </w:r>
          </w:p>
        </w:tc>
        <w:tc>
          <w:tcPr>
            <w:tcW w:w="1605"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专利名称</w:t>
            </w:r>
          </w:p>
        </w:tc>
        <w:tc>
          <w:tcPr>
            <w:tcW w:w="1785"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专利授权号</w:t>
            </w:r>
          </w:p>
        </w:tc>
        <w:tc>
          <w:tcPr>
            <w:tcW w:w="750"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获准国别</w:t>
            </w:r>
          </w:p>
        </w:tc>
        <w:tc>
          <w:tcPr>
            <w:tcW w:w="990"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完成人</w:t>
            </w:r>
          </w:p>
        </w:tc>
        <w:tc>
          <w:tcPr>
            <w:tcW w:w="660"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类型</w:t>
            </w:r>
          </w:p>
        </w:tc>
        <w:tc>
          <w:tcPr>
            <w:tcW w:w="2255"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71" w:type="dxa"/>
            <w:vAlign w:val="center"/>
          </w:tcPr>
          <w:p>
            <w:pPr>
              <w:adjustRightInd w:val="0"/>
              <w:snapToGrid w:val="0"/>
              <w:spacing w:line="400" w:lineRule="exact"/>
              <w:jc w:val="center"/>
              <w:rPr>
                <w:rFonts w:hint="eastAsia" w:ascii="黑体" w:hAnsi="黑体" w:eastAsia="黑体" w:cs="宋体"/>
                <w:sz w:val="21"/>
                <w:szCs w:val="21"/>
              </w:rPr>
            </w:pPr>
            <w:r>
              <w:rPr>
                <w:rFonts w:hint="eastAsia" w:ascii="黑体" w:hAnsi="黑体" w:eastAsia="黑体" w:cs="宋体"/>
                <w:sz w:val="21"/>
                <w:szCs w:val="21"/>
              </w:rPr>
              <w:t>1</w:t>
            </w:r>
          </w:p>
        </w:tc>
        <w:tc>
          <w:tcPr>
            <w:tcW w:w="1605" w:type="dxa"/>
          </w:tcPr>
          <w:p>
            <w:pPr>
              <w:adjustRightInd w:val="0"/>
              <w:snapToGrid w:val="0"/>
              <w:spacing w:line="400" w:lineRule="exact"/>
              <w:jc w:val="center"/>
              <w:rPr>
                <w:rFonts w:hint="eastAsia" w:ascii="黑体" w:hAnsi="黑体" w:eastAsia="黑体" w:cs="宋体"/>
                <w:sz w:val="21"/>
                <w:szCs w:val="21"/>
                <w:lang w:eastAsia="zh-CN"/>
              </w:rPr>
            </w:pPr>
            <w:r>
              <w:rPr>
                <w:rFonts w:hint="eastAsia" w:ascii="黑体" w:hAnsi="黑体" w:eastAsia="黑体" w:cs="宋体"/>
                <w:sz w:val="21"/>
                <w:szCs w:val="21"/>
              </w:rPr>
              <w:t>实用新型专利</w:t>
            </w:r>
          </w:p>
        </w:tc>
        <w:tc>
          <w:tcPr>
            <w:tcW w:w="1785" w:type="dxa"/>
            <w:vAlign w:val="bottom"/>
          </w:tcPr>
          <w:p>
            <w:pPr>
              <w:adjustRightInd w:val="0"/>
              <w:snapToGrid w:val="0"/>
              <w:spacing w:line="400" w:lineRule="exact"/>
              <w:jc w:val="center"/>
              <w:rPr>
                <w:rFonts w:hint="eastAsia" w:ascii="黑体" w:hAnsi="黑体" w:eastAsia="黑体" w:cs="宋体"/>
                <w:sz w:val="21"/>
                <w:szCs w:val="21"/>
                <w:lang w:val="en-US" w:eastAsia="zh-CN"/>
              </w:rPr>
            </w:pPr>
            <w:r>
              <w:rPr>
                <w:rFonts w:hint="default" w:ascii="黑体" w:hAnsi="黑体" w:eastAsia="黑体" w:cs="宋体"/>
                <w:sz w:val="21"/>
                <w:szCs w:val="21"/>
                <w:lang w:val="en-US" w:eastAsia="zh-CN"/>
              </w:rPr>
              <w:t>CN208896153U</w:t>
            </w:r>
          </w:p>
        </w:tc>
        <w:tc>
          <w:tcPr>
            <w:tcW w:w="750" w:type="dxa"/>
          </w:tcPr>
          <w:p>
            <w:pPr>
              <w:adjustRightInd w:val="0"/>
              <w:snapToGrid w:val="0"/>
              <w:spacing w:line="400" w:lineRule="exact"/>
              <w:jc w:val="center"/>
              <w:rPr>
                <w:rFonts w:hint="eastAsia" w:ascii="黑体" w:hAnsi="黑体" w:eastAsia="黑体" w:cs="宋体"/>
                <w:sz w:val="21"/>
                <w:szCs w:val="21"/>
                <w:lang w:eastAsia="zh-CN"/>
              </w:rPr>
            </w:pPr>
            <w:r>
              <w:rPr>
                <w:rFonts w:hint="eastAsia" w:ascii="黑体" w:hAnsi="黑体" w:eastAsia="黑体" w:cs="宋体"/>
                <w:sz w:val="21"/>
                <w:szCs w:val="21"/>
                <w:lang w:eastAsia="zh-CN"/>
              </w:rPr>
              <w:t>中国</w:t>
            </w:r>
          </w:p>
        </w:tc>
        <w:tc>
          <w:tcPr>
            <w:tcW w:w="990" w:type="dxa"/>
          </w:tcPr>
          <w:p>
            <w:pPr>
              <w:adjustRightInd w:val="0"/>
              <w:snapToGrid w:val="0"/>
              <w:spacing w:line="400" w:lineRule="exact"/>
              <w:jc w:val="center"/>
              <w:rPr>
                <w:rFonts w:hint="eastAsia" w:ascii="黑体" w:hAnsi="黑体" w:eastAsia="黑体" w:cs="宋体"/>
                <w:sz w:val="21"/>
                <w:szCs w:val="21"/>
                <w:lang w:eastAsia="zh-CN"/>
              </w:rPr>
            </w:pPr>
            <w:r>
              <w:rPr>
                <w:rFonts w:hint="eastAsia" w:ascii="黑体" w:hAnsi="黑体" w:eastAsia="黑体" w:cs="宋体"/>
                <w:sz w:val="21"/>
                <w:szCs w:val="21"/>
                <w:lang w:eastAsia="zh-CN"/>
              </w:rPr>
              <w:t>陈丽玲</w:t>
            </w:r>
          </w:p>
        </w:tc>
        <w:tc>
          <w:tcPr>
            <w:tcW w:w="660" w:type="dxa"/>
          </w:tcPr>
          <w:p>
            <w:pPr>
              <w:adjustRightInd w:val="0"/>
              <w:snapToGrid w:val="0"/>
              <w:spacing w:line="400" w:lineRule="exact"/>
              <w:jc w:val="center"/>
              <w:rPr>
                <w:rFonts w:hint="eastAsia" w:ascii="黑体" w:hAnsi="黑体" w:eastAsia="黑体" w:cs="宋体"/>
                <w:sz w:val="21"/>
                <w:szCs w:val="21"/>
                <w:lang w:eastAsia="zh-CN"/>
              </w:rPr>
            </w:pPr>
            <w:r>
              <w:rPr>
                <w:rFonts w:hint="eastAsia" w:ascii="黑体" w:hAnsi="黑体" w:eastAsia="黑体" w:cs="宋体"/>
                <w:sz w:val="21"/>
                <w:szCs w:val="21"/>
                <w:lang w:eastAsia="zh-CN"/>
              </w:rPr>
              <w:t>规范</w:t>
            </w:r>
          </w:p>
        </w:tc>
        <w:tc>
          <w:tcPr>
            <w:tcW w:w="2255" w:type="dxa"/>
          </w:tcPr>
          <w:p>
            <w:pPr>
              <w:adjustRightInd w:val="0"/>
              <w:snapToGrid w:val="0"/>
              <w:spacing w:line="400" w:lineRule="exact"/>
              <w:jc w:val="center"/>
              <w:rPr>
                <w:rFonts w:hint="eastAsia" w:ascii="黑体" w:hAnsi="黑体" w:eastAsia="黑体" w:cs="宋体"/>
                <w:sz w:val="21"/>
                <w:szCs w:val="21"/>
              </w:rPr>
            </w:pPr>
            <w:r>
              <w:rPr>
                <w:rFonts w:hint="eastAsia" w:ascii="黑体" w:hAnsi="黑体" w:eastAsia="黑体" w:cs="宋体"/>
                <w:sz w:val="21"/>
                <w:szCs w:val="21"/>
              </w:rPr>
              <w:t>合作完成-第一人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71" w:type="dxa"/>
            <w:vAlign w:val="center"/>
          </w:tcPr>
          <w:p>
            <w:pPr>
              <w:adjustRightInd w:val="0"/>
              <w:snapToGrid w:val="0"/>
              <w:spacing w:line="400" w:lineRule="exact"/>
              <w:jc w:val="center"/>
              <w:rPr>
                <w:rFonts w:hint="eastAsia" w:ascii="黑体" w:hAnsi="黑体" w:eastAsia="黑体" w:cs="宋体"/>
                <w:sz w:val="21"/>
                <w:szCs w:val="21"/>
              </w:rPr>
            </w:pPr>
            <w:r>
              <w:rPr>
                <w:rFonts w:hint="eastAsia" w:ascii="黑体" w:hAnsi="黑体" w:eastAsia="黑体" w:cs="宋体"/>
                <w:sz w:val="21"/>
                <w:szCs w:val="21"/>
              </w:rPr>
              <w:t>2</w:t>
            </w:r>
          </w:p>
        </w:tc>
        <w:tc>
          <w:tcPr>
            <w:tcW w:w="1605" w:type="dxa"/>
          </w:tcPr>
          <w:p>
            <w:pPr>
              <w:adjustRightInd w:val="0"/>
              <w:snapToGrid w:val="0"/>
              <w:spacing w:line="400" w:lineRule="exact"/>
              <w:jc w:val="center"/>
              <w:rPr>
                <w:rFonts w:hint="eastAsia" w:ascii="黑体" w:hAnsi="黑体" w:eastAsia="黑体" w:cs="宋体"/>
                <w:sz w:val="21"/>
                <w:szCs w:val="21"/>
              </w:rPr>
            </w:pPr>
            <w:r>
              <w:rPr>
                <w:rFonts w:hint="eastAsia" w:ascii="黑体" w:hAnsi="黑体" w:eastAsia="黑体" w:cs="宋体"/>
                <w:sz w:val="21"/>
                <w:szCs w:val="21"/>
              </w:rPr>
              <w:t>实用新型专利</w:t>
            </w:r>
          </w:p>
        </w:tc>
        <w:tc>
          <w:tcPr>
            <w:tcW w:w="1785" w:type="dxa"/>
            <w:vAlign w:val="bottom"/>
          </w:tcPr>
          <w:p>
            <w:pPr>
              <w:adjustRightInd w:val="0"/>
              <w:snapToGrid w:val="0"/>
              <w:spacing w:line="400" w:lineRule="exact"/>
              <w:jc w:val="center"/>
              <w:rPr>
                <w:rFonts w:hint="eastAsia" w:ascii="黑体" w:hAnsi="黑体" w:eastAsia="黑体" w:cs="宋体"/>
                <w:sz w:val="21"/>
                <w:szCs w:val="21"/>
                <w:lang w:val="en-US" w:eastAsia="zh-CN"/>
              </w:rPr>
            </w:pPr>
            <w:r>
              <w:rPr>
                <w:rFonts w:hint="default" w:ascii="黑体" w:hAnsi="黑体" w:eastAsia="黑体" w:cs="宋体"/>
                <w:sz w:val="21"/>
                <w:szCs w:val="21"/>
                <w:lang w:val="en-US" w:eastAsia="zh-CN"/>
              </w:rPr>
              <w:t>CN209360977U</w:t>
            </w:r>
          </w:p>
        </w:tc>
        <w:tc>
          <w:tcPr>
            <w:tcW w:w="750" w:type="dxa"/>
          </w:tcPr>
          <w:p>
            <w:pPr>
              <w:adjustRightInd w:val="0"/>
              <w:snapToGrid w:val="0"/>
              <w:spacing w:line="400" w:lineRule="exact"/>
              <w:jc w:val="center"/>
              <w:rPr>
                <w:rFonts w:hint="eastAsia" w:ascii="黑体" w:hAnsi="黑体" w:eastAsia="黑体" w:cs="宋体"/>
                <w:sz w:val="21"/>
                <w:szCs w:val="21"/>
              </w:rPr>
            </w:pPr>
            <w:r>
              <w:rPr>
                <w:rFonts w:hint="eastAsia" w:ascii="黑体" w:hAnsi="黑体" w:eastAsia="黑体" w:cs="宋体"/>
                <w:sz w:val="21"/>
                <w:szCs w:val="21"/>
                <w:lang w:eastAsia="zh-CN"/>
              </w:rPr>
              <w:t>中国</w:t>
            </w:r>
          </w:p>
        </w:tc>
        <w:tc>
          <w:tcPr>
            <w:tcW w:w="990" w:type="dxa"/>
          </w:tcPr>
          <w:p>
            <w:pPr>
              <w:adjustRightInd w:val="0"/>
              <w:snapToGrid w:val="0"/>
              <w:spacing w:line="400" w:lineRule="exact"/>
              <w:jc w:val="center"/>
              <w:rPr>
                <w:rFonts w:hint="eastAsia" w:ascii="黑体" w:hAnsi="黑体" w:eastAsia="黑体" w:cs="宋体"/>
                <w:sz w:val="21"/>
                <w:szCs w:val="21"/>
              </w:rPr>
            </w:pPr>
            <w:r>
              <w:rPr>
                <w:rFonts w:hint="eastAsia" w:ascii="黑体" w:hAnsi="黑体" w:eastAsia="黑体" w:cs="宋体"/>
                <w:sz w:val="21"/>
                <w:szCs w:val="21"/>
                <w:lang w:eastAsia="zh-CN"/>
              </w:rPr>
              <w:t>陈丽玲</w:t>
            </w:r>
          </w:p>
        </w:tc>
        <w:tc>
          <w:tcPr>
            <w:tcW w:w="660" w:type="dxa"/>
          </w:tcPr>
          <w:p>
            <w:pPr>
              <w:adjustRightInd w:val="0"/>
              <w:snapToGrid w:val="0"/>
              <w:spacing w:line="400" w:lineRule="exact"/>
              <w:jc w:val="center"/>
              <w:rPr>
                <w:rFonts w:hint="eastAsia" w:ascii="黑体" w:hAnsi="黑体" w:eastAsia="黑体" w:cs="宋体"/>
                <w:sz w:val="21"/>
                <w:szCs w:val="21"/>
                <w:lang w:eastAsia="zh-CN"/>
              </w:rPr>
            </w:pPr>
            <w:r>
              <w:rPr>
                <w:rFonts w:hint="eastAsia" w:ascii="黑体" w:hAnsi="黑体" w:eastAsia="黑体" w:cs="宋体"/>
                <w:sz w:val="21"/>
                <w:szCs w:val="21"/>
                <w:lang w:eastAsia="zh-CN"/>
              </w:rPr>
              <w:t>规范</w:t>
            </w:r>
          </w:p>
        </w:tc>
        <w:tc>
          <w:tcPr>
            <w:tcW w:w="2255" w:type="dxa"/>
          </w:tcPr>
          <w:p>
            <w:pPr>
              <w:adjustRightInd w:val="0"/>
              <w:snapToGrid w:val="0"/>
              <w:spacing w:line="400" w:lineRule="exact"/>
              <w:jc w:val="center"/>
              <w:rPr>
                <w:rFonts w:hint="eastAsia" w:ascii="黑体" w:hAnsi="黑体" w:eastAsia="黑体" w:cs="宋体"/>
                <w:sz w:val="21"/>
                <w:szCs w:val="21"/>
              </w:rPr>
            </w:pPr>
            <w:r>
              <w:rPr>
                <w:rFonts w:hint="eastAsia" w:ascii="黑体" w:hAnsi="黑体" w:eastAsia="黑体" w:cs="宋体"/>
                <w:sz w:val="21"/>
                <w:szCs w:val="21"/>
              </w:rPr>
              <w:t>合作完成-第一人</w:t>
            </w:r>
          </w:p>
        </w:tc>
      </w:tr>
    </w:tbl>
    <w:p>
      <w:pPr>
        <w:spacing w:before="163" w:beforeLines="50"/>
        <w:ind w:firstLine="480" w:firstLineChars="200"/>
        <w:rPr>
          <w:rFonts w:ascii="楷体" w:hAnsi="楷体" w:eastAsia="楷体" w:cs="宋体"/>
        </w:rPr>
      </w:pPr>
      <w:r>
        <w:rPr>
          <w:rFonts w:hint="eastAsia" w:ascii="楷体" w:hAnsi="楷体" w:eastAsia="楷体" w:cs="仿宋_GB2312"/>
        </w:rPr>
        <w:t>注：（1）国内外同内容的专利不得重复统计。（2）</w:t>
      </w:r>
      <w:r>
        <w:rPr>
          <w:rFonts w:hint="eastAsia" w:ascii="楷体" w:hAnsi="楷体" w:eastAsia="楷体" w:cs="仿宋_GB2312"/>
          <w:bCs/>
        </w:rPr>
        <w:t>专利：</w:t>
      </w:r>
      <w:r>
        <w:rPr>
          <w:rFonts w:hint="eastAsia" w:ascii="楷体" w:hAnsi="楷体" w:eastAsia="楷体" w:cs="仿宋_GB2312"/>
        </w:rPr>
        <w:t>批准的发明专利，以证书为准。（3）</w:t>
      </w:r>
      <w:r>
        <w:rPr>
          <w:rFonts w:hint="eastAsia" w:ascii="楷体" w:hAnsi="楷体" w:eastAsia="楷体" w:cs="宋体"/>
          <w:bCs/>
        </w:rPr>
        <w:t>完成人：</w:t>
      </w:r>
      <w:r>
        <w:rPr>
          <w:rFonts w:hint="eastAsia" w:ascii="楷体" w:hAnsi="楷体" w:eastAsia="楷体" w:cs="宋体"/>
        </w:rPr>
        <w:t>所有完成人，</w:t>
      </w:r>
      <w:r>
        <w:rPr>
          <w:rFonts w:hint="eastAsia" w:ascii="楷体" w:hAnsi="楷体" w:eastAsia="楷体" w:cs="仿宋_GB2312"/>
        </w:rPr>
        <w:t>排序以证书为准。（4）</w:t>
      </w:r>
      <w:r>
        <w:rPr>
          <w:rFonts w:hint="eastAsia" w:ascii="楷体" w:hAnsi="楷体" w:eastAsia="楷体" w:cs="宋体"/>
          <w:bCs/>
        </w:rPr>
        <w:t>类型：</w:t>
      </w:r>
      <w:r>
        <w:rPr>
          <w:rFonts w:hint="eastAsia" w:ascii="楷体" w:hAnsi="楷体" w:eastAsia="楷体" w:cs="宋体"/>
        </w:rPr>
        <w:t>其他等同于</w:t>
      </w:r>
      <w:r>
        <w:rPr>
          <w:rFonts w:hint="eastAsia" w:ascii="楷体" w:hAnsi="楷体" w:eastAsia="楷体" w:cs="仿宋_GB2312"/>
        </w:rPr>
        <w:t>发明专利的成果，如新药、软件、标准、规范等，在类型栏中标明。（5）</w:t>
      </w:r>
      <w:r>
        <w:rPr>
          <w:rFonts w:hint="eastAsia" w:ascii="楷体" w:hAnsi="楷体" w:eastAsia="楷体" w:cs="宋体"/>
          <w:bCs/>
        </w:rPr>
        <w:t>类别：</w:t>
      </w:r>
      <w:r>
        <w:rPr>
          <w:rFonts w:hint="eastAsia" w:ascii="楷体" w:hAnsi="楷体" w:eastAsia="楷体" w:cs="宋体"/>
        </w:rPr>
        <w:t>分四种，独立完成、合作完成-第一人、合作完成-第二人、合作完成-其他。如果成果全部由示范中心固定人员完成的则为独立完成。如果成果由示范中心与其他单位合作完成，第一完成人是示范中心固定人员则为合作完成-第一人；第二完成人是示范中心固定人员则为合作完成-第二人，第三及以后完成人是示范中心固定人员则为合作完成-其他。（以下类同）</w:t>
      </w:r>
    </w:p>
    <w:p>
      <w:pPr>
        <w:spacing w:before="163" w:after="163" w:line="360" w:lineRule="auto"/>
        <w:ind w:firstLine="480" w:firstLineChars="200"/>
        <w:rPr>
          <w:rFonts w:ascii="黑体" w:hAnsi="黑体" w:eastAsia="黑体" w:cs="仿宋_GB2312"/>
        </w:rPr>
      </w:pPr>
      <w:r>
        <w:rPr>
          <w:rFonts w:hint="eastAsia" w:ascii="黑体" w:hAnsi="黑体" w:eastAsia="黑体" w:cs="仿宋_GB2312"/>
        </w:rPr>
        <w:t>2.发表论文、专著情况</w:t>
      </w:r>
    </w:p>
    <w:tbl>
      <w:tblPr>
        <w:tblStyle w:val="6"/>
        <w:tblW w:w="864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9"/>
        <w:gridCol w:w="2169"/>
        <w:gridCol w:w="1013"/>
        <w:gridCol w:w="1815"/>
        <w:gridCol w:w="1494"/>
        <w:gridCol w:w="720"/>
        <w:gridCol w:w="7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序号</w:t>
            </w:r>
          </w:p>
        </w:tc>
        <w:tc>
          <w:tcPr>
            <w:tcW w:w="21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论文或专著名称</w:t>
            </w:r>
          </w:p>
        </w:tc>
        <w:tc>
          <w:tcPr>
            <w:tcW w:w="10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作者</w:t>
            </w:r>
          </w:p>
        </w:tc>
        <w:tc>
          <w:tcPr>
            <w:tcW w:w="181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刊物、出版社名称</w:t>
            </w:r>
          </w:p>
        </w:tc>
        <w:tc>
          <w:tcPr>
            <w:tcW w:w="1494"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卷、期</w:t>
            </w:r>
          </w:p>
          <w:p>
            <w:pPr>
              <w:adjustRightInd w:val="0"/>
              <w:snapToGrid w:val="0"/>
              <w:spacing w:line="400" w:lineRule="exact"/>
              <w:jc w:val="center"/>
              <w:rPr>
                <w:rFonts w:ascii="黑体" w:hAnsi="黑体" w:eastAsia="黑体" w:cs="Times New Roman"/>
              </w:rPr>
            </w:pPr>
            <w:r>
              <w:rPr>
                <w:rFonts w:hint="eastAsia" w:ascii="黑体" w:hAnsi="黑体" w:eastAsia="黑体" w:cs="黑体"/>
              </w:rPr>
              <w:t>（或章节）、页</w:t>
            </w: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类型</w:t>
            </w:r>
          </w:p>
        </w:tc>
        <w:tc>
          <w:tcPr>
            <w:tcW w:w="720" w:type="dxa"/>
            <w:tcBorders>
              <w:top w:val="single" w:color="auto" w:sz="6" w:space="0"/>
              <w:left w:val="single" w:color="auto" w:sz="6" w:space="0"/>
              <w:bottom w:val="single" w:color="auto" w:sz="6" w:space="0"/>
              <w:right w:val="single" w:color="auto" w:sz="6" w:space="0"/>
            </w:tcBorders>
            <w:vAlign w:val="center"/>
          </w:tcPr>
          <w:p>
            <w:pPr>
              <w:tabs>
                <w:tab w:val="left" w:pos="492"/>
              </w:tabs>
              <w:adjustRightInd w:val="0"/>
              <w:snapToGrid w:val="0"/>
              <w:spacing w:line="400" w:lineRule="exact"/>
              <w:jc w:val="center"/>
              <w:rPr>
                <w:rFonts w:ascii="黑体" w:hAnsi="黑体" w:eastAsia="黑体" w:cs="Times New Roman"/>
              </w:rPr>
            </w:pPr>
            <w:r>
              <w:rPr>
                <w:rFonts w:hint="eastAsia" w:ascii="黑体" w:hAnsi="黑体" w:eastAsia="黑体" w:cs="黑体"/>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val="en-US" w:eastAsia="zh-CN"/>
              </w:rPr>
            </w:pPr>
            <w:r>
              <w:rPr>
                <w:rFonts w:hint="eastAsia" w:ascii="楷体" w:hAnsi="楷体" w:eastAsia="楷体" w:cs="楷体"/>
                <w:lang w:val="en-US" w:eastAsia="zh-CN"/>
              </w:rPr>
              <w:t>1</w:t>
            </w:r>
          </w:p>
        </w:tc>
        <w:tc>
          <w:tcPr>
            <w:tcW w:w="21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红细胞分布宽度在猫心脏疾病诊断中的意义</w:t>
            </w:r>
          </w:p>
        </w:tc>
        <w:tc>
          <w:tcPr>
            <w:tcW w:w="10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tc>
        <w:tc>
          <w:tcPr>
            <w:tcW w:w="181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上海畜牧兽医通讯</w:t>
            </w:r>
          </w:p>
        </w:tc>
        <w:tc>
          <w:tcPr>
            <w:tcW w:w="1494"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2020年第4期</w:t>
            </w: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eastAsia="zh-CN"/>
              </w:rPr>
            </w:pP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eastAsia="zh-CN"/>
              </w:rPr>
            </w:pPr>
            <w:r>
              <w:rPr>
                <w:rFonts w:hint="eastAsia" w:ascii="楷体" w:hAnsi="楷体" w:eastAsia="楷体" w:cs="楷体"/>
                <w:lang w:eastAsia="zh-CN"/>
              </w:rPr>
              <w:t>合作完成第一人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val="en-US" w:eastAsia="zh-CN"/>
              </w:rPr>
            </w:pPr>
            <w:r>
              <w:rPr>
                <w:rFonts w:hint="eastAsia" w:ascii="楷体" w:hAnsi="楷体" w:eastAsia="楷体" w:cs="楷体"/>
                <w:lang w:val="en-US" w:eastAsia="zh-CN"/>
              </w:rPr>
              <w:t>2</w:t>
            </w:r>
          </w:p>
        </w:tc>
        <w:tc>
          <w:tcPr>
            <w:tcW w:w="21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老年犬阴道异常流血的诊治</w:t>
            </w:r>
          </w:p>
        </w:tc>
        <w:tc>
          <w:tcPr>
            <w:tcW w:w="10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tc>
        <w:tc>
          <w:tcPr>
            <w:tcW w:w="181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养殖与饲料</w:t>
            </w:r>
          </w:p>
        </w:tc>
        <w:tc>
          <w:tcPr>
            <w:tcW w:w="1494"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2020年第2期</w:t>
            </w: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lang w:eastAsia="zh-CN"/>
              </w:rPr>
              <w:t>合作完成第一人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val="en-US" w:eastAsia="zh-CN"/>
              </w:rPr>
            </w:pPr>
            <w:r>
              <w:rPr>
                <w:rFonts w:hint="eastAsia" w:ascii="楷体" w:hAnsi="楷体" w:eastAsia="楷体" w:cs="楷体"/>
                <w:lang w:val="en-US" w:eastAsia="zh-CN"/>
              </w:rPr>
              <w:t>3</w:t>
            </w:r>
          </w:p>
        </w:tc>
        <w:tc>
          <w:tcPr>
            <w:tcW w:w="21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牛磺酸在治疗猫阻塞性黄疸中的应用</w:t>
            </w:r>
          </w:p>
        </w:tc>
        <w:tc>
          <w:tcPr>
            <w:tcW w:w="10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tc>
        <w:tc>
          <w:tcPr>
            <w:tcW w:w="181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养殖与饲料</w:t>
            </w:r>
          </w:p>
        </w:tc>
        <w:tc>
          <w:tcPr>
            <w:tcW w:w="1494"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2020年第6期</w:t>
            </w: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lang w:eastAsia="zh-CN"/>
              </w:rPr>
              <w:t>合作完成第一人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val="en-US" w:eastAsia="zh-CN"/>
              </w:rPr>
            </w:pPr>
            <w:r>
              <w:rPr>
                <w:rFonts w:hint="eastAsia" w:ascii="楷体" w:hAnsi="楷体" w:eastAsia="楷体" w:cs="楷体"/>
                <w:lang w:val="en-US" w:eastAsia="zh-CN"/>
              </w:rPr>
              <w:t>4</w:t>
            </w:r>
          </w:p>
        </w:tc>
        <w:tc>
          <w:tcPr>
            <w:tcW w:w="21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犬冠状病毒病的诊断与防治</w:t>
            </w:r>
          </w:p>
        </w:tc>
        <w:tc>
          <w:tcPr>
            <w:tcW w:w="10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tc>
        <w:tc>
          <w:tcPr>
            <w:tcW w:w="181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上海畜牧兽医通讯</w:t>
            </w:r>
          </w:p>
        </w:tc>
        <w:tc>
          <w:tcPr>
            <w:tcW w:w="1494"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2020年第3期</w:t>
            </w: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lang w:eastAsia="zh-CN"/>
              </w:rPr>
              <w:t>合作完成第一人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val="en-US" w:eastAsia="zh-CN"/>
              </w:rPr>
            </w:pPr>
            <w:r>
              <w:rPr>
                <w:rFonts w:hint="eastAsia" w:ascii="楷体" w:hAnsi="楷体" w:eastAsia="楷体" w:cs="楷体"/>
                <w:lang w:val="en-US" w:eastAsia="zh-CN"/>
              </w:rPr>
              <w:t>5</w:t>
            </w:r>
          </w:p>
        </w:tc>
        <w:tc>
          <w:tcPr>
            <w:tcW w:w="21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外科实验教学质量问题与改革</w:t>
            </w:r>
          </w:p>
        </w:tc>
        <w:tc>
          <w:tcPr>
            <w:tcW w:w="10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tc>
        <w:tc>
          <w:tcPr>
            <w:tcW w:w="181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教育现代化</w:t>
            </w:r>
          </w:p>
        </w:tc>
        <w:tc>
          <w:tcPr>
            <w:tcW w:w="1494"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2020年1月第6期</w:t>
            </w: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lang w:eastAsia="zh-CN"/>
              </w:rPr>
              <w:t>合作完成第一人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lang w:val="en-US" w:eastAsia="zh-CN"/>
              </w:rPr>
            </w:pPr>
            <w:r>
              <w:rPr>
                <w:rFonts w:hint="eastAsia" w:ascii="楷体" w:hAnsi="楷体" w:eastAsia="楷体" w:cs="楷体"/>
                <w:lang w:val="en-US" w:eastAsia="zh-CN"/>
              </w:rPr>
              <w:t>6</w:t>
            </w:r>
          </w:p>
        </w:tc>
        <w:tc>
          <w:tcPr>
            <w:tcW w:w="216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血清钙在犬心衰中的临床意义_</w:t>
            </w:r>
          </w:p>
        </w:tc>
        <w:tc>
          <w:tcPr>
            <w:tcW w:w="10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陈丽玲</w:t>
            </w:r>
          </w:p>
        </w:tc>
        <w:tc>
          <w:tcPr>
            <w:tcW w:w="181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养殖与饲料</w:t>
            </w:r>
          </w:p>
        </w:tc>
        <w:tc>
          <w:tcPr>
            <w:tcW w:w="1494"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2020年第5期</w:t>
            </w: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p>
        </w:tc>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lang w:eastAsia="zh-CN"/>
              </w:rPr>
              <w:t>合作完成第一人</w:t>
            </w:r>
          </w:p>
        </w:tc>
      </w:tr>
    </w:tbl>
    <w:p>
      <w:pPr>
        <w:spacing w:before="163" w:beforeLines="50"/>
        <w:ind w:firstLine="480" w:firstLineChars="200"/>
        <w:outlineLvl w:val="0"/>
        <w:rPr>
          <w:rFonts w:ascii="楷体" w:hAnsi="楷体" w:eastAsia="楷体"/>
        </w:rPr>
      </w:pPr>
      <w:r>
        <w:rPr>
          <w:rFonts w:hint="eastAsia" w:ascii="楷体" w:hAnsi="楷体" w:eastAsia="楷体"/>
          <w:bCs/>
        </w:rPr>
        <w:t>注</w:t>
      </w:r>
      <w:r>
        <w:rPr>
          <w:rFonts w:hint="eastAsia" w:ascii="楷体" w:hAnsi="楷体" w:eastAsia="楷体" w:cs="仿宋_GB2312"/>
        </w:rPr>
        <w:t>：（1）论文、专著均限于教学研究、学术论文或专著，一般文献综述及一般教材不填报。请将有示范中心成员署名的论文、专著依次以国外刊物、国内重要刊物，外文专著、中文专著为序分别填报。</w:t>
      </w:r>
      <w:r>
        <w:rPr>
          <w:rFonts w:hint="eastAsia" w:ascii="Times New Roman" w:hAnsi="Times New Roman" w:eastAsia="楷体" w:cs="Times New Roman"/>
        </w:rPr>
        <w:t>（2）类型：SCI（E）收录论文、SSCI收录论文、A&amp;HCL收录论文、EI Compendex收录论文、北京大学中文核心期刊要目收录论文、南京大学中文社会科学引文索引期刊收录论文（CSSCI）、中国科学院中国科学引文数据库期刊收录论文（CSCD）、</w:t>
      </w:r>
      <w:r>
        <w:rPr>
          <w:rFonts w:hint="eastAsia" w:ascii="楷体" w:hAnsi="楷体" w:eastAsia="楷体" w:cs="仿宋_GB2312"/>
          <w:bCs/>
        </w:rPr>
        <w:t>外文专著、中文专著；</w:t>
      </w:r>
      <w:r>
        <w:rPr>
          <w:rFonts w:hint="eastAsia" w:ascii="Times New Roman" w:hAnsi="Times New Roman" w:eastAsia="楷体" w:cs="Times New Roman"/>
        </w:rPr>
        <w:t>国际会议论文集论文不予统计，</w:t>
      </w:r>
      <w:r>
        <w:rPr>
          <w:rFonts w:hint="eastAsia" w:ascii="楷体" w:hAnsi="楷体" w:eastAsia="楷体" w:cs="仿宋_GB2312"/>
        </w:rPr>
        <w:t>可对国内发行的英文版学术期刊论文进行填报，但不得与中文版期刊同内容的论文重复。（3）</w:t>
      </w:r>
      <w:r>
        <w:rPr>
          <w:rFonts w:hint="eastAsia" w:ascii="楷体" w:hAnsi="楷体" w:eastAsia="楷体" w:cs="仿宋_GB2312"/>
          <w:bCs/>
        </w:rPr>
        <w:t>外文专著：</w:t>
      </w:r>
      <w:r>
        <w:rPr>
          <w:rFonts w:hint="eastAsia" w:ascii="楷体" w:hAnsi="楷体" w:eastAsia="楷体" w:cs="仿宋_GB2312"/>
        </w:rPr>
        <w:t>正式出版的学术著作。（4）</w:t>
      </w:r>
      <w:r>
        <w:rPr>
          <w:rFonts w:hint="eastAsia" w:ascii="楷体" w:hAnsi="楷体" w:eastAsia="楷体" w:cs="仿宋_GB2312"/>
          <w:bCs/>
        </w:rPr>
        <w:t>中文专著：</w:t>
      </w:r>
      <w:r>
        <w:rPr>
          <w:rFonts w:hint="eastAsia" w:ascii="楷体" w:hAnsi="楷体" w:eastAsia="楷体" w:cs="仿宋_GB2312"/>
        </w:rPr>
        <w:t>正式出版的学术著作，不包括译著、实验室年报、论文集等。（5）</w:t>
      </w:r>
      <w:r>
        <w:rPr>
          <w:rFonts w:hint="eastAsia" w:ascii="楷体" w:hAnsi="楷体" w:eastAsia="楷体" w:cs="仿宋_GB2312"/>
          <w:bCs/>
        </w:rPr>
        <w:t>作者：</w:t>
      </w:r>
      <w:r>
        <w:rPr>
          <w:rFonts w:hint="eastAsia" w:ascii="楷体" w:hAnsi="楷体" w:eastAsia="楷体" w:cs="仿宋_GB2312"/>
        </w:rPr>
        <w:t>所有作者，以出版物排序为准。</w:t>
      </w:r>
    </w:p>
    <w:p>
      <w:pPr>
        <w:spacing w:before="163" w:after="163" w:line="360" w:lineRule="auto"/>
        <w:ind w:firstLine="480" w:firstLineChars="200"/>
        <w:rPr>
          <w:rFonts w:ascii="黑体" w:hAnsi="黑体" w:eastAsia="黑体"/>
        </w:rPr>
      </w:pPr>
      <w:r>
        <w:rPr>
          <w:rFonts w:hint="eastAsia" w:ascii="黑体" w:hAnsi="黑体" w:eastAsia="黑体" w:cs="仿宋_GB2312"/>
        </w:rPr>
        <w:t>3.仪器设备的研制和改装情况</w:t>
      </w:r>
    </w:p>
    <w:tbl>
      <w:tblPr>
        <w:tblStyle w:val="6"/>
        <w:tblW w:w="851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8"/>
        <w:gridCol w:w="1397"/>
        <w:gridCol w:w="1310"/>
        <w:gridCol w:w="2095"/>
        <w:gridCol w:w="1621"/>
        <w:gridCol w:w="139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8" w:hRule="atLeast"/>
        </w:trPr>
        <w:tc>
          <w:tcPr>
            <w:tcW w:w="698"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序号</w:t>
            </w:r>
          </w:p>
        </w:tc>
        <w:tc>
          <w:tcPr>
            <w:tcW w:w="1397"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仪器设</w:t>
            </w:r>
          </w:p>
          <w:p>
            <w:pPr>
              <w:adjustRightInd w:val="0"/>
              <w:snapToGrid w:val="0"/>
              <w:spacing w:line="400" w:lineRule="exact"/>
              <w:jc w:val="center"/>
              <w:rPr>
                <w:rFonts w:ascii="黑体" w:hAnsi="黑体" w:eastAsia="黑体" w:cs="宋体"/>
              </w:rPr>
            </w:pPr>
            <w:r>
              <w:rPr>
                <w:rFonts w:hint="eastAsia" w:ascii="黑体" w:hAnsi="黑体" w:eastAsia="黑体" w:cs="宋体"/>
              </w:rPr>
              <w:t>备名称</w:t>
            </w:r>
          </w:p>
        </w:tc>
        <w:tc>
          <w:tcPr>
            <w:tcW w:w="1310"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自制或</w:t>
            </w:r>
          </w:p>
          <w:p>
            <w:pPr>
              <w:adjustRightInd w:val="0"/>
              <w:snapToGrid w:val="0"/>
              <w:spacing w:line="400" w:lineRule="exact"/>
              <w:jc w:val="center"/>
              <w:rPr>
                <w:rFonts w:ascii="黑体" w:hAnsi="黑体" w:eastAsia="黑体" w:cs="宋体"/>
              </w:rPr>
            </w:pPr>
            <w:r>
              <w:rPr>
                <w:rFonts w:hint="eastAsia" w:ascii="黑体" w:hAnsi="黑体" w:eastAsia="黑体" w:cs="宋体"/>
              </w:rPr>
              <w:t>改装</w:t>
            </w:r>
          </w:p>
        </w:tc>
        <w:tc>
          <w:tcPr>
            <w:tcW w:w="2095"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开发的功能</w:t>
            </w:r>
          </w:p>
          <w:p>
            <w:pPr>
              <w:adjustRightInd w:val="0"/>
              <w:snapToGrid w:val="0"/>
              <w:spacing w:line="400" w:lineRule="exact"/>
              <w:jc w:val="center"/>
              <w:rPr>
                <w:rFonts w:ascii="黑体" w:hAnsi="黑体" w:eastAsia="黑体" w:cs="宋体"/>
              </w:rPr>
            </w:pPr>
            <w:r>
              <w:rPr>
                <w:rFonts w:hint="eastAsia" w:ascii="黑体" w:hAnsi="黑体" w:eastAsia="黑体" w:cs="宋体"/>
              </w:rPr>
              <w:t>和用途</w:t>
            </w:r>
          </w:p>
          <w:p>
            <w:pPr>
              <w:adjustRightInd w:val="0"/>
              <w:snapToGrid w:val="0"/>
              <w:spacing w:line="400" w:lineRule="exact"/>
              <w:jc w:val="center"/>
              <w:rPr>
                <w:rFonts w:ascii="黑体" w:hAnsi="黑体" w:eastAsia="黑体" w:cs="宋体"/>
              </w:rPr>
            </w:pPr>
            <w:r>
              <w:rPr>
                <w:rFonts w:hint="eastAsia" w:ascii="黑体" w:hAnsi="黑体" w:eastAsia="黑体" w:cs="宋体"/>
              </w:rPr>
              <w:t>（限100字以内）</w:t>
            </w:r>
          </w:p>
        </w:tc>
        <w:tc>
          <w:tcPr>
            <w:tcW w:w="1621"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研究成果</w:t>
            </w:r>
          </w:p>
          <w:p>
            <w:pPr>
              <w:adjustRightInd w:val="0"/>
              <w:snapToGrid w:val="0"/>
              <w:spacing w:line="400" w:lineRule="exact"/>
              <w:jc w:val="center"/>
              <w:rPr>
                <w:rFonts w:ascii="黑体" w:hAnsi="黑体" w:eastAsia="黑体" w:cs="宋体"/>
              </w:rPr>
            </w:pPr>
            <w:r>
              <w:rPr>
                <w:rFonts w:hint="eastAsia" w:ascii="黑体" w:hAnsi="黑体" w:eastAsia="黑体" w:cs="宋体"/>
              </w:rPr>
              <w:t>（限100字以内）</w:t>
            </w:r>
          </w:p>
        </w:tc>
        <w:tc>
          <w:tcPr>
            <w:tcW w:w="1395" w:type="dxa"/>
            <w:vAlign w:val="center"/>
          </w:tcPr>
          <w:p>
            <w:pPr>
              <w:adjustRightInd w:val="0"/>
              <w:snapToGrid w:val="0"/>
              <w:spacing w:line="400" w:lineRule="exact"/>
              <w:jc w:val="center"/>
              <w:rPr>
                <w:rFonts w:ascii="黑体" w:hAnsi="黑体" w:eastAsia="黑体" w:cs="宋体"/>
              </w:rPr>
            </w:pPr>
            <w:r>
              <w:rPr>
                <w:rFonts w:hint="eastAsia" w:ascii="黑体" w:hAnsi="黑体" w:eastAsia="黑体" w:cs="宋体"/>
              </w:rPr>
              <w:t>推广和应用的高校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698" w:type="dxa"/>
            <w:vAlign w:val="center"/>
          </w:tcPr>
          <w:p>
            <w:pPr>
              <w:adjustRightInd w:val="0"/>
              <w:snapToGrid w:val="0"/>
              <w:spacing w:line="400" w:lineRule="exact"/>
              <w:jc w:val="center"/>
              <w:rPr>
                <w:rFonts w:ascii="楷体" w:hAnsi="楷体" w:eastAsia="楷体"/>
              </w:rPr>
            </w:pPr>
            <w:r>
              <w:rPr>
                <w:rFonts w:hint="eastAsia" w:ascii="楷体" w:hAnsi="楷体" w:eastAsia="楷体"/>
              </w:rPr>
              <w:t>1</w:t>
            </w:r>
          </w:p>
        </w:tc>
        <w:tc>
          <w:tcPr>
            <w:tcW w:w="1397" w:type="dxa"/>
          </w:tcPr>
          <w:p>
            <w:pPr>
              <w:adjustRightInd w:val="0"/>
              <w:snapToGrid w:val="0"/>
              <w:spacing w:line="400" w:lineRule="exact"/>
              <w:jc w:val="center"/>
              <w:rPr>
                <w:rFonts w:ascii="仿宋" w:hAnsi="仿宋" w:eastAsia="仿宋"/>
                <w:sz w:val="28"/>
                <w:szCs w:val="28"/>
              </w:rPr>
            </w:pPr>
          </w:p>
        </w:tc>
        <w:tc>
          <w:tcPr>
            <w:tcW w:w="1310" w:type="dxa"/>
          </w:tcPr>
          <w:p>
            <w:pPr>
              <w:adjustRightInd w:val="0"/>
              <w:snapToGrid w:val="0"/>
              <w:spacing w:line="400" w:lineRule="exact"/>
              <w:jc w:val="center"/>
              <w:rPr>
                <w:rFonts w:ascii="仿宋" w:hAnsi="仿宋" w:eastAsia="仿宋"/>
                <w:sz w:val="28"/>
                <w:szCs w:val="28"/>
              </w:rPr>
            </w:pPr>
          </w:p>
        </w:tc>
        <w:tc>
          <w:tcPr>
            <w:tcW w:w="2095" w:type="dxa"/>
          </w:tcPr>
          <w:p>
            <w:pPr>
              <w:adjustRightInd w:val="0"/>
              <w:snapToGrid w:val="0"/>
              <w:spacing w:line="400" w:lineRule="exact"/>
              <w:rPr>
                <w:rFonts w:ascii="仿宋" w:hAnsi="仿宋" w:eastAsia="仿宋"/>
                <w:sz w:val="28"/>
                <w:szCs w:val="28"/>
              </w:rPr>
            </w:pPr>
          </w:p>
        </w:tc>
        <w:tc>
          <w:tcPr>
            <w:tcW w:w="1621" w:type="dxa"/>
          </w:tcPr>
          <w:p>
            <w:pPr>
              <w:adjustRightInd w:val="0"/>
              <w:snapToGrid w:val="0"/>
              <w:spacing w:line="400" w:lineRule="exact"/>
              <w:jc w:val="center"/>
              <w:rPr>
                <w:rFonts w:ascii="仿宋" w:hAnsi="仿宋" w:eastAsia="仿宋"/>
                <w:sz w:val="28"/>
                <w:szCs w:val="28"/>
              </w:rPr>
            </w:pPr>
          </w:p>
        </w:tc>
        <w:tc>
          <w:tcPr>
            <w:tcW w:w="1395" w:type="dxa"/>
          </w:tcPr>
          <w:p>
            <w:pPr>
              <w:adjustRightInd w:val="0"/>
              <w:snapToGrid w:val="0"/>
              <w:spacing w:line="400" w:lineRule="exact"/>
              <w:jc w:val="center"/>
              <w:rPr>
                <w:rFonts w:ascii="仿宋" w:hAnsi="仿宋" w:eastAsia="仿宋"/>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698" w:type="dxa"/>
            <w:vAlign w:val="center"/>
          </w:tcPr>
          <w:p>
            <w:pPr>
              <w:adjustRightInd w:val="0"/>
              <w:snapToGrid w:val="0"/>
              <w:spacing w:line="400" w:lineRule="exact"/>
              <w:jc w:val="center"/>
              <w:rPr>
                <w:rFonts w:ascii="楷体" w:hAnsi="楷体" w:eastAsia="楷体"/>
              </w:rPr>
            </w:pPr>
            <w:r>
              <w:rPr>
                <w:rFonts w:hint="eastAsia" w:ascii="楷体" w:hAnsi="楷体" w:eastAsia="楷体"/>
              </w:rPr>
              <w:t>2</w:t>
            </w:r>
          </w:p>
        </w:tc>
        <w:tc>
          <w:tcPr>
            <w:tcW w:w="1397" w:type="dxa"/>
          </w:tcPr>
          <w:p>
            <w:pPr>
              <w:adjustRightInd w:val="0"/>
              <w:snapToGrid w:val="0"/>
              <w:spacing w:line="400" w:lineRule="exact"/>
              <w:jc w:val="center"/>
              <w:rPr>
                <w:rFonts w:ascii="仿宋" w:hAnsi="仿宋" w:eastAsia="仿宋"/>
                <w:sz w:val="28"/>
                <w:szCs w:val="28"/>
              </w:rPr>
            </w:pPr>
          </w:p>
        </w:tc>
        <w:tc>
          <w:tcPr>
            <w:tcW w:w="1310" w:type="dxa"/>
          </w:tcPr>
          <w:p>
            <w:pPr>
              <w:adjustRightInd w:val="0"/>
              <w:snapToGrid w:val="0"/>
              <w:spacing w:line="400" w:lineRule="exact"/>
              <w:jc w:val="center"/>
              <w:rPr>
                <w:rFonts w:ascii="仿宋" w:hAnsi="仿宋" w:eastAsia="仿宋"/>
                <w:sz w:val="28"/>
                <w:szCs w:val="28"/>
              </w:rPr>
            </w:pPr>
          </w:p>
        </w:tc>
        <w:tc>
          <w:tcPr>
            <w:tcW w:w="2095" w:type="dxa"/>
          </w:tcPr>
          <w:p>
            <w:pPr>
              <w:adjustRightInd w:val="0"/>
              <w:snapToGrid w:val="0"/>
              <w:spacing w:line="400" w:lineRule="exact"/>
              <w:rPr>
                <w:rFonts w:ascii="仿宋" w:hAnsi="仿宋" w:eastAsia="仿宋"/>
                <w:sz w:val="28"/>
                <w:szCs w:val="28"/>
              </w:rPr>
            </w:pPr>
          </w:p>
        </w:tc>
        <w:tc>
          <w:tcPr>
            <w:tcW w:w="1621" w:type="dxa"/>
          </w:tcPr>
          <w:p>
            <w:pPr>
              <w:adjustRightInd w:val="0"/>
              <w:snapToGrid w:val="0"/>
              <w:spacing w:line="400" w:lineRule="exact"/>
              <w:jc w:val="center"/>
              <w:rPr>
                <w:rFonts w:ascii="仿宋" w:hAnsi="仿宋" w:eastAsia="仿宋"/>
                <w:sz w:val="28"/>
                <w:szCs w:val="28"/>
              </w:rPr>
            </w:pPr>
          </w:p>
        </w:tc>
        <w:tc>
          <w:tcPr>
            <w:tcW w:w="1395" w:type="dxa"/>
          </w:tcPr>
          <w:p>
            <w:pPr>
              <w:adjustRightInd w:val="0"/>
              <w:snapToGrid w:val="0"/>
              <w:spacing w:line="400" w:lineRule="exact"/>
              <w:jc w:val="center"/>
              <w:rPr>
                <w:rFonts w:ascii="仿宋" w:hAnsi="仿宋" w:eastAsia="仿宋"/>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698" w:type="dxa"/>
            <w:vAlign w:val="center"/>
          </w:tcPr>
          <w:p>
            <w:pPr>
              <w:adjustRightInd w:val="0"/>
              <w:snapToGrid w:val="0"/>
              <w:spacing w:line="400" w:lineRule="exact"/>
              <w:jc w:val="center"/>
              <w:rPr>
                <w:rFonts w:ascii="楷体" w:hAnsi="楷体" w:eastAsia="楷体"/>
              </w:rPr>
            </w:pPr>
            <w:r>
              <w:rPr>
                <w:rFonts w:ascii="楷体" w:hAnsi="楷体" w:eastAsia="楷体"/>
              </w:rPr>
              <w:t>…</w:t>
            </w:r>
          </w:p>
        </w:tc>
        <w:tc>
          <w:tcPr>
            <w:tcW w:w="1397" w:type="dxa"/>
          </w:tcPr>
          <w:p>
            <w:pPr>
              <w:adjustRightInd w:val="0"/>
              <w:snapToGrid w:val="0"/>
              <w:spacing w:line="400" w:lineRule="exact"/>
              <w:jc w:val="center"/>
              <w:rPr>
                <w:rFonts w:ascii="仿宋" w:hAnsi="仿宋" w:eastAsia="仿宋"/>
                <w:sz w:val="28"/>
                <w:szCs w:val="28"/>
              </w:rPr>
            </w:pPr>
          </w:p>
        </w:tc>
        <w:tc>
          <w:tcPr>
            <w:tcW w:w="1310" w:type="dxa"/>
          </w:tcPr>
          <w:p>
            <w:pPr>
              <w:adjustRightInd w:val="0"/>
              <w:snapToGrid w:val="0"/>
              <w:spacing w:line="400" w:lineRule="exact"/>
              <w:jc w:val="center"/>
              <w:rPr>
                <w:rFonts w:ascii="仿宋" w:hAnsi="仿宋" w:eastAsia="仿宋"/>
                <w:sz w:val="28"/>
                <w:szCs w:val="28"/>
              </w:rPr>
            </w:pPr>
          </w:p>
        </w:tc>
        <w:tc>
          <w:tcPr>
            <w:tcW w:w="2095" w:type="dxa"/>
          </w:tcPr>
          <w:p>
            <w:pPr>
              <w:adjustRightInd w:val="0"/>
              <w:snapToGrid w:val="0"/>
              <w:spacing w:line="400" w:lineRule="exact"/>
              <w:jc w:val="center"/>
              <w:rPr>
                <w:rFonts w:ascii="仿宋" w:hAnsi="仿宋" w:eastAsia="仿宋"/>
                <w:sz w:val="28"/>
                <w:szCs w:val="28"/>
              </w:rPr>
            </w:pPr>
          </w:p>
        </w:tc>
        <w:tc>
          <w:tcPr>
            <w:tcW w:w="1621" w:type="dxa"/>
          </w:tcPr>
          <w:p>
            <w:pPr>
              <w:adjustRightInd w:val="0"/>
              <w:snapToGrid w:val="0"/>
              <w:spacing w:line="400" w:lineRule="exact"/>
              <w:jc w:val="center"/>
              <w:rPr>
                <w:rFonts w:ascii="仿宋" w:hAnsi="仿宋" w:eastAsia="仿宋"/>
                <w:sz w:val="28"/>
                <w:szCs w:val="28"/>
              </w:rPr>
            </w:pPr>
          </w:p>
        </w:tc>
        <w:tc>
          <w:tcPr>
            <w:tcW w:w="1395" w:type="dxa"/>
          </w:tcPr>
          <w:p>
            <w:pPr>
              <w:adjustRightInd w:val="0"/>
              <w:snapToGrid w:val="0"/>
              <w:spacing w:line="400" w:lineRule="exact"/>
              <w:jc w:val="center"/>
              <w:rPr>
                <w:rFonts w:ascii="仿宋" w:hAnsi="仿宋" w:eastAsia="仿宋"/>
                <w:sz w:val="28"/>
                <w:szCs w:val="28"/>
              </w:rPr>
            </w:pPr>
          </w:p>
        </w:tc>
      </w:tr>
    </w:tbl>
    <w:p>
      <w:pPr>
        <w:spacing w:before="163" w:beforeLines="50"/>
        <w:ind w:firstLine="480" w:firstLineChars="200"/>
        <w:rPr>
          <w:rFonts w:ascii="楷体" w:hAnsi="楷体" w:eastAsia="楷体"/>
        </w:rPr>
      </w:pPr>
      <w:r>
        <w:rPr>
          <w:rFonts w:hint="eastAsia" w:ascii="楷体" w:hAnsi="楷体" w:eastAsia="楷体" w:cs="仿宋_GB2312"/>
          <w:bCs/>
        </w:rPr>
        <w:t>注：（1）自制：</w:t>
      </w:r>
      <w:r>
        <w:rPr>
          <w:rFonts w:hint="eastAsia" w:ascii="楷体" w:hAnsi="楷体" w:eastAsia="楷体" w:cs="仿宋_GB2312"/>
        </w:rPr>
        <w:t>实验室自行研制的仪器设备。（2）</w:t>
      </w:r>
      <w:r>
        <w:rPr>
          <w:rFonts w:hint="eastAsia" w:ascii="楷体" w:hAnsi="楷体" w:eastAsia="楷体" w:cs="仿宋_GB2312"/>
          <w:bCs/>
        </w:rPr>
        <w:t>改装：</w:t>
      </w:r>
      <w:r>
        <w:rPr>
          <w:rFonts w:hint="eastAsia" w:ascii="楷体" w:hAnsi="楷体" w:eastAsia="楷体" w:cs="仿宋_GB2312"/>
        </w:rPr>
        <w:t>对购置的仪器设备进行改装，赋予其新的功能和用途。（3）</w:t>
      </w:r>
      <w:r>
        <w:rPr>
          <w:rFonts w:hint="eastAsia" w:ascii="楷体" w:hAnsi="楷体" w:eastAsia="楷体" w:cs="仿宋_GB2312"/>
          <w:bCs/>
        </w:rPr>
        <w:t>研究成果：</w:t>
      </w:r>
      <w:r>
        <w:rPr>
          <w:rFonts w:hint="eastAsia" w:ascii="楷体" w:hAnsi="楷体" w:eastAsia="楷体" w:cs="仿宋_GB2312"/>
        </w:rPr>
        <w:t>用新研制或改装的仪器设备进行研究的创新性成果，列举</w:t>
      </w:r>
      <w:r>
        <w:rPr>
          <w:rFonts w:hint="eastAsia" w:ascii="楷体" w:hAnsi="楷体" w:eastAsia="楷体"/>
        </w:rPr>
        <w:t>1－2</w:t>
      </w:r>
      <w:r>
        <w:rPr>
          <w:rFonts w:hint="eastAsia" w:ascii="楷体" w:hAnsi="楷体" w:eastAsia="楷体" w:cs="仿宋_GB2312"/>
        </w:rPr>
        <w:t>项。</w:t>
      </w:r>
    </w:p>
    <w:p>
      <w:pPr>
        <w:spacing w:before="163" w:after="163" w:line="360" w:lineRule="auto"/>
        <w:ind w:firstLine="480" w:firstLineChars="200"/>
        <w:rPr>
          <w:rFonts w:ascii="黑体" w:hAnsi="黑体" w:eastAsia="黑体" w:cs="仿宋_GB2312"/>
        </w:rPr>
      </w:pPr>
      <w:r>
        <w:rPr>
          <w:rFonts w:hint="eastAsia" w:ascii="黑体" w:hAnsi="黑体" w:eastAsia="黑体" w:cs="仿宋_GB2312"/>
        </w:rPr>
        <w:t>4.其它成果情况</w:t>
      </w:r>
    </w:p>
    <w:tbl>
      <w:tblPr>
        <w:tblStyle w:val="6"/>
        <w:tblW w:w="8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480"/>
        <w:gridCol w:w="35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480"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名称</w:t>
            </w:r>
          </w:p>
        </w:tc>
        <w:tc>
          <w:tcPr>
            <w:tcW w:w="3598"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480"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国内会议论文数</w:t>
            </w:r>
          </w:p>
        </w:tc>
        <w:tc>
          <w:tcPr>
            <w:tcW w:w="3598"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0篇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480"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国际会议论文数</w:t>
            </w:r>
          </w:p>
        </w:tc>
        <w:tc>
          <w:tcPr>
            <w:tcW w:w="3598"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0篇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480"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国内一般刊物发表论文数</w:t>
            </w:r>
          </w:p>
        </w:tc>
        <w:tc>
          <w:tcPr>
            <w:tcW w:w="3598"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lang w:val="en-US" w:eastAsia="zh-CN"/>
              </w:rPr>
              <w:t>8</w:t>
            </w:r>
            <w:r>
              <w:rPr>
                <w:rFonts w:hint="eastAsia" w:ascii="楷体" w:hAnsi="楷体" w:eastAsia="楷体" w:cs="楷体"/>
              </w:rPr>
              <w:t>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480"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省部委奖数</w:t>
            </w:r>
          </w:p>
        </w:tc>
        <w:tc>
          <w:tcPr>
            <w:tcW w:w="3598"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0项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480"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其它奖数</w:t>
            </w:r>
          </w:p>
        </w:tc>
        <w:tc>
          <w:tcPr>
            <w:tcW w:w="3598"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lang w:val="en-US" w:eastAsia="zh-CN"/>
              </w:rPr>
              <w:t>3</w:t>
            </w:r>
            <w:r>
              <w:rPr>
                <w:rFonts w:hint="eastAsia" w:ascii="楷体" w:hAnsi="楷体" w:eastAsia="楷体" w:cs="楷体"/>
              </w:rPr>
              <w:t>项</w:t>
            </w:r>
          </w:p>
        </w:tc>
      </w:tr>
    </w:tbl>
    <w:p>
      <w:pPr>
        <w:spacing w:before="163" w:beforeLines="50"/>
        <w:ind w:firstLine="480" w:firstLineChars="200"/>
        <w:rPr>
          <w:rFonts w:ascii="楷体" w:hAnsi="楷体" w:eastAsia="楷体" w:cs="仿宋_GB2312"/>
          <w:color w:val="44546A" w:themeColor="text2"/>
        </w:rPr>
      </w:pPr>
      <w:r>
        <w:rPr>
          <w:rFonts w:hint="eastAsia" w:ascii="楷体" w:hAnsi="楷体" w:eastAsia="楷体" w:cs="仿宋_GB2312"/>
          <w:bCs/>
          <w:color w:val="44546A" w:themeColor="text2"/>
        </w:rPr>
        <w:t>注：国内一般刊物：除“（三）2”以外的其他国内刊物，</w:t>
      </w:r>
      <w:r>
        <w:rPr>
          <w:rFonts w:hint="eastAsia" w:ascii="楷体" w:hAnsi="楷体" w:eastAsia="楷体" w:cs="仿宋_GB2312"/>
          <w:color w:val="44546A" w:themeColor="text2"/>
        </w:rPr>
        <w:t xml:space="preserve">只填汇总数量。 </w:t>
      </w:r>
    </w:p>
    <w:p>
      <w:pPr>
        <w:adjustRightInd w:val="0"/>
        <w:snapToGrid w:val="0"/>
        <w:spacing w:line="360" w:lineRule="auto"/>
        <w:ind w:firstLine="480" w:firstLineChars="200"/>
        <w:rPr>
          <w:rFonts w:ascii="楷体" w:hAnsi="楷体" w:eastAsia="楷体" w:cs="仿宋_GB2312"/>
          <w:bCs/>
        </w:rPr>
      </w:pPr>
    </w:p>
    <w:p>
      <w:pPr>
        <w:spacing w:line="360" w:lineRule="auto"/>
        <w:rPr>
          <w:rFonts w:ascii="黑体" w:hAnsi="黑体" w:eastAsia="黑体"/>
          <w:b/>
          <w:sz w:val="32"/>
          <w:szCs w:val="32"/>
        </w:rPr>
      </w:pPr>
      <w:r>
        <w:rPr>
          <w:rFonts w:hint="eastAsia" w:ascii="仿宋" w:hAnsi="仿宋" w:eastAsia="仿宋"/>
          <w:b/>
          <w:sz w:val="28"/>
          <w:szCs w:val="28"/>
        </w:rPr>
        <w:t xml:space="preserve">    </w:t>
      </w:r>
      <w:r>
        <w:rPr>
          <w:rFonts w:hint="eastAsia" w:ascii="黑体" w:hAnsi="黑体" w:eastAsia="黑体"/>
          <w:b/>
          <w:sz w:val="32"/>
          <w:szCs w:val="32"/>
        </w:rPr>
        <w:t>五、</w:t>
      </w:r>
      <w:r>
        <w:rPr>
          <w:rFonts w:hint="eastAsia" w:ascii="黑体" w:hAnsi="黑体" w:eastAsia="黑体" w:cs="仿宋_GB2312"/>
          <w:b/>
          <w:sz w:val="32"/>
          <w:szCs w:val="32"/>
        </w:rPr>
        <w:t>信息化建设、开放运行和示范辐射情况</w:t>
      </w:r>
    </w:p>
    <w:p>
      <w:pPr>
        <w:spacing w:before="163" w:after="163" w:line="360" w:lineRule="auto"/>
        <w:ind w:firstLine="560" w:firstLineChars="200"/>
        <w:rPr>
          <w:rFonts w:ascii="黑体" w:hAnsi="黑体" w:eastAsia="黑体"/>
          <w:sz w:val="28"/>
          <w:szCs w:val="28"/>
        </w:rPr>
      </w:pPr>
      <w:r>
        <w:rPr>
          <w:rFonts w:hint="eastAsia" w:ascii="黑体" w:hAnsi="黑体" w:eastAsia="黑体"/>
          <w:sz w:val="28"/>
          <w:szCs w:val="28"/>
        </w:rPr>
        <w:t>（一）信息化建设情况</w:t>
      </w:r>
    </w:p>
    <w:tbl>
      <w:tblPr>
        <w:tblStyle w:val="7"/>
        <w:tblW w:w="851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566"/>
        <w:gridCol w:w="1625"/>
        <w:gridCol w:w="33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Align w:val="center"/>
          </w:tcPr>
          <w:p>
            <w:pPr>
              <w:adjustRightInd w:val="0"/>
              <w:snapToGrid w:val="0"/>
              <w:spacing w:line="400" w:lineRule="exact"/>
              <w:jc w:val="center"/>
              <w:rPr>
                <w:rFonts w:ascii="黑体" w:hAnsi="黑体" w:eastAsia="黑体"/>
              </w:rPr>
            </w:pPr>
            <w:r>
              <w:rPr>
                <w:rFonts w:hint="eastAsia" w:ascii="黑体" w:hAnsi="黑体" w:eastAsia="黑体"/>
              </w:rPr>
              <w:t>中心网址</w:t>
            </w:r>
          </w:p>
        </w:tc>
        <w:tc>
          <w:tcPr>
            <w:tcW w:w="4950" w:type="dxa"/>
            <w:gridSpan w:val="2"/>
          </w:tcPr>
          <w:p>
            <w:pPr>
              <w:adjustRightInd w:val="0"/>
              <w:snapToGrid w:val="0"/>
              <w:spacing w:line="400" w:lineRule="exact"/>
              <w:rPr>
                <w:rFonts w:ascii="仿宋" w:hAnsi="仿宋" w:eastAsia="仿宋"/>
                <w:sz w:val="28"/>
                <w:szCs w:val="28"/>
              </w:rPr>
            </w:pPr>
            <w:r>
              <w:rPr>
                <w:rFonts w:hint="eastAsia" w:ascii="仿宋" w:hAnsi="仿宋" w:eastAsia="仿宋" w:cs="Times New Roman"/>
                <w:sz w:val="28"/>
                <w:szCs w:val="28"/>
              </w:rPr>
              <w:t>http://www.kmmc.cn/list725.aspx</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Align w:val="center"/>
          </w:tcPr>
          <w:p>
            <w:pPr>
              <w:adjustRightInd w:val="0"/>
              <w:snapToGrid w:val="0"/>
              <w:spacing w:line="400" w:lineRule="exact"/>
              <w:jc w:val="center"/>
              <w:rPr>
                <w:rFonts w:ascii="黑体" w:hAnsi="黑体" w:eastAsia="黑体"/>
              </w:rPr>
            </w:pPr>
            <w:r>
              <w:rPr>
                <w:rFonts w:hint="eastAsia" w:ascii="黑体" w:hAnsi="黑体" w:eastAsia="黑体"/>
              </w:rPr>
              <w:t>中心网址年度访问总量</w:t>
            </w:r>
          </w:p>
        </w:tc>
        <w:tc>
          <w:tcPr>
            <w:tcW w:w="4950" w:type="dxa"/>
            <w:gridSpan w:val="2"/>
            <w:vAlign w:val="center"/>
          </w:tcPr>
          <w:p>
            <w:pPr>
              <w:adjustRightInd w:val="0"/>
              <w:snapToGrid w:val="0"/>
              <w:spacing w:line="400" w:lineRule="exact"/>
              <w:jc w:val="center"/>
              <w:rPr>
                <w:rFonts w:ascii="仿宋" w:hAnsi="仿宋" w:eastAsia="仿宋"/>
                <w:sz w:val="28"/>
                <w:szCs w:val="28"/>
              </w:rPr>
            </w:pPr>
            <w:r>
              <w:rPr>
                <w:rFonts w:hint="eastAsia" w:ascii="仿宋" w:hAnsi="仿宋" w:eastAsia="仿宋" w:cs="仿宋"/>
                <w:sz w:val="28"/>
                <w:szCs w:val="28"/>
              </w:rPr>
              <w:t>27682</w:t>
            </w:r>
            <w:r>
              <w:rPr>
                <w:rFonts w:hint="eastAsia" w:ascii="仿宋" w:hAnsi="仿宋" w:eastAsia="仿宋"/>
                <w:sz w:val="28"/>
                <w:szCs w:val="28"/>
              </w:rPr>
              <w:t>人次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Align w:val="center"/>
          </w:tcPr>
          <w:p>
            <w:pPr>
              <w:adjustRightInd w:val="0"/>
              <w:snapToGrid w:val="0"/>
              <w:spacing w:line="400" w:lineRule="exact"/>
              <w:jc w:val="center"/>
              <w:rPr>
                <w:rFonts w:ascii="黑体" w:hAnsi="黑体" w:eastAsia="黑体"/>
              </w:rPr>
            </w:pPr>
            <w:r>
              <w:rPr>
                <w:rFonts w:hint="eastAsia" w:ascii="黑体" w:hAnsi="黑体" w:eastAsia="黑体"/>
              </w:rPr>
              <w:t>信息化资源总量</w:t>
            </w:r>
          </w:p>
        </w:tc>
        <w:tc>
          <w:tcPr>
            <w:tcW w:w="4950" w:type="dxa"/>
            <w:gridSpan w:val="2"/>
            <w:vAlign w:val="center"/>
          </w:tcPr>
          <w:p>
            <w:pPr>
              <w:adjustRightInd w:val="0"/>
              <w:snapToGrid w:val="0"/>
              <w:spacing w:line="400" w:lineRule="exact"/>
              <w:jc w:val="center"/>
              <w:rPr>
                <w:rFonts w:ascii="仿宋" w:hAnsi="仿宋" w:eastAsia="仿宋"/>
                <w:sz w:val="28"/>
                <w:szCs w:val="28"/>
              </w:rPr>
            </w:pPr>
            <w:r>
              <w:rPr>
                <w:rFonts w:hint="eastAsia" w:ascii="仿宋" w:hAnsi="仿宋" w:eastAsia="仿宋" w:cs="仿宋"/>
                <w:sz w:val="28"/>
                <w:szCs w:val="28"/>
              </w:rPr>
              <w:t>12682.50</w:t>
            </w:r>
            <w:r>
              <w:rPr>
                <w:rFonts w:hint="eastAsia" w:ascii="仿宋" w:hAnsi="仿宋" w:eastAsia="仿宋"/>
                <w:sz w:val="28"/>
                <w:szCs w:val="28"/>
              </w:rPr>
              <w:t>Mb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Align w:val="center"/>
          </w:tcPr>
          <w:p>
            <w:pPr>
              <w:adjustRightInd w:val="0"/>
              <w:snapToGrid w:val="0"/>
              <w:spacing w:line="400" w:lineRule="exact"/>
              <w:jc w:val="center"/>
              <w:rPr>
                <w:rFonts w:ascii="黑体" w:hAnsi="黑体" w:eastAsia="黑体"/>
              </w:rPr>
            </w:pPr>
            <w:r>
              <w:rPr>
                <w:rFonts w:hint="eastAsia" w:ascii="黑体" w:hAnsi="黑体" w:eastAsia="黑体"/>
              </w:rPr>
              <w:t>信息化资源年度更新量</w:t>
            </w:r>
          </w:p>
        </w:tc>
        <w:tc>
          <w:tcPr>
            <w:tcW w:w="4950" w:type="dxa"/>
            <w:gridSpan w:val="2"/>
            <w:vAlign w:val="center"/>
          </w:tcPr>
          <w:p>
            <w:pPr>
              <w:adjustRightInd w:val="0"/>
              <w:snapToGrid w:val="0"/>
              <w:spacing w:line="400" w:lineRule="exact"/>
              <w:jc w:val="center"/>
              <w:rPr>
                <w:rFonts w:ascii="仿宋" w:hAnsi="仿宋" w:eastAsia="仿宋"/>
                <w:sz w:val="28"/>
                <w:szCs w:val="28"/>
              </w:rPr>
            </w:pPr>
            <w:r>
              <w:rPr>
                <w:rFonts w:hint="eastAsia" w:ascii="仿宋" w:hAnsi="仿宋" w:eastAsia="仿宋" w:cs="仿宋"/>
                <w:sz w:val="28"/>
                <w:szCs w:val="28"/>
              </w:rPr>
              <w:t>2140.60</w:t>
            </w:r>
            <w:r>
              <w:rPr>
                <w:rFonts w:hint="eastAsia" w:ascii="仿宋" w:hAnsi="仿宋" w:eastAsia="仿宋"/>
                <w:sz w:val="28"/>
                <w:szCs w:val="28"/>
              </w:rPr>
              <w:t>Mb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Align w:val="center"/>
          </w:tcPr>
          <w:p>
            <w:pPr>
              <w:adjustRightInd w:val="0"/>
              <w:snapToGrid w:val="0"/>
              <w:spacing w:line="400" w:lineRule="exact"/>
              <w:jc w:val="center"/>
              <w:rPr>
                <w:rFonts w:ascii="黑体" w:hAnsi="黑体" w:eastAsia="黑体"/>
              </w:rPr>
            </w:pPr>
            <w:r>
              <w:rPr>
                <w:rFonts w:hint="eastAsia" w:ascii="黑体" w:hAnsi="黑体" w:eastAsia="黑体"/>
              </w:rPr>
              <w:t>虚拟仿真实验教学项目</w:t>
            </w:r>
          </w:p>
        </w:tc>
        <w:tc>
          <w:tcPr>
            <w:tcW w:w="4950" w:type="dxa"/>
            <w:gridSpan w:val="2"/>
            <w:vAlign w:val="center"/>
          </w:tcPr>
          <w:p>
            <w:pPr>
              <w:adjustRightInd w:val="0"/>
              <w:snapToGrid w:val="0"/>
              <w:spacing w:line="400" w:lineRule="exact"/>
              <w:jc w:val="center"/>
              <w:rPr>
                <w:rFonts w:ascii="仿宋" w:hAnsi="仿宋" w:eastAsia="仿宋"/>
                <w:sz w:val="28"/>
                <w:szCs w:val="28"/>
              </w:rPr>
            </w:pPr>
            <w:r>
              <w:rPr>
                <w:rFonts w:hint="eastAsia" w:ascii="仿宋" w:hAnsi="仿宋" w:eastAsia="仿宋"/>
                <w:sz w:val="28"/>
                <w:szCs w:val="28"/>
                <w:lang w:val="en-US" w:eastAsia="zh-CN"/>
              </w:rPr>
              <w:t>34</w:t>
            </w:r>
            <w:r>
              <w:rPr>
                <w:rFonts w:hint="eastAsia" w:ascii="仿宋" w:hAnsi="仿宋" w:eastAsia="仿宋"/>
                <w:sz w:val="28"/>
                <w:szCs w:val="28"/>
              </w:rPr>
              <w:t>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Merge w:val="restart"/>
            <w:vAlign w:val="center"/>
          </w:tcPr>
          <w:p>
            <w:pPr>
              <w:adjustRightInd w:val="0"/>
              <w:snapToGrid w:val="0"/>
              <w:spacing w:line="400" w:lineRule="exact"/>
              <w:jc w:val="center"/>
              <w:rPr>
                <w:rFonts w:ascii="黑体" w:hAnsi="黑体" w:eastAsia="黑体"/>
              </w:rPr>
            </w:pPr>
            <w:r>
              <w:rPr>
                <w:rFonts w:hint="eastAsia" w:ascii="黑体" w:hAnsi="黑体" w:eastAsia="黑体"/>
              </w:rPr>
              <w:t>中心信息化工作联系人</w:t>
            </w:r>
          </w:p>
        </w:tc>
        <w:tc>
          <w:tcPr>
            <w:tcW w:w="1625" w:type="dxa"/>
            <w:tcBorders>
              <w:right w:val="single" w:color="auto" w:sz="4" w:space="0"/>
            </w:tcBorders>
            <w:vAlign w:val="center"/>
          </w:tcPr>
          <w:p>
            <w:pPr>
              <w:adjustRightInd w:val="0"/>
              <w:snapToGrid w:val="0"/>
              <w:spacing w:line="400" w:lineRule="exact"/>
              <w:jc w:val="center"/>
              <w:rPr>
                <w:rFonts w:ascii="楷体" w:hAnsi="楷体" w:eastAsia="楷体"/>
              </w:rPr>
            </w:pPr>
            <w:r>
              <w:rPr>
                <w:rFonts w:hint="eastAsia" w:ascii="楷体" w:hAnsi="楷体" w:eastAsia="楷体"/>
              </w:rPr>
              <w:t>姓名</w:t>
            </w:r>
          </w:p>
        </w:tc>
        <w:tc>
          <w:tcPr>
            <w:tcW w:w="3325" w:type="dxa"/>
            <w:tcBorders>
              <w:left w:val="single" w:color="auto" w:sz="4" w:space="0"/>
            </w:tcBorders>
            <w:vAlign w:val="center"/>
          </w:tcPr>
          <w:p>
            <w:pPr>
              <w:adjustRightInd w:val="0"/>
              <w:snapToGrid w:val="0"/>
              <w:spacing w:line="400" w:lineRule="exact"/>
              <w:jc w:val="center"/>
              <w:rPr>
                <w:rFonts w:ascii="仿宋" w:hAnsi="仿宋" w:eastAsia="仿宋"/>
                <w:sz w:val="28"/>
                <w:szCs w:val="28"/>
              </w:rPr>
            </w:pPr>
            <w:r>
              <w:rPr>
                <w:rFonts w:hint="eastAsia" w:ascii="仿宋" w:hAnsi="仿宋" w:eastAsia="仿宋" w:cs="Times New Roman"/>
                <w:sz w:val="28"/>
                <w:szCs w:val="28"/>
              </w:rPr>
              <w:t>崔乐乐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Merge w:val="continue"/>
          </w:tcPr>
          <w:p>
            <w:pPr>
              <w:adjustRightInd w:val="0"/>
              <w:snapToGrid w:val="0"/>
              <w:spacing w:line="400" w:lineRule="exact"/>
              <w:rPr>
                <w:rFonts w:ascii="仿宋" w:hAnsi="仿宋" w:eastAsia="仿宋"/>
                <w:sz w:val="28"/>
                <w:szCs w:val="28"/>
              </w:rPr>
            </w:pPr>
          </w:p>
        </w:tc>
        <w:tc>
          <w:tcPr>
            <w:tcW w:w="1625" w:type="dxa"/>
            <w:tcBorders>
              <w:right w:val="single" w:color="auto" w:sz="4" w:space="0"/>
            </w:tcBorders>
            <w:vAlign w:val="center"/>
          </w:tcPr>
          <w:p>
            <w:pPr>
              <w:adjustRightInd w:val="0"/>
              <w:snapToGrid w:val="0"/>
              <w:spacing w:line="400" w:lineRule="exact"/>
              <w:jc w:val="center"/>
              <w:rPr>
                <w:rFonts w:ascii="楷体" w:hAnsi="楷体" w:eastAsia="楷体"/>
              </w:rPr>
            </w:pPr>
            <w:r>
              <w:rPr>
                <w:rFonts w:hint="eastAsia" w:ascii="楷体" w:hAnsi="楷体" w:eastAsia="楷体"/>
              </w:rPr>
              <w:t>移动电话</w:t>
            </w:r>
          </w:p>
        </w:tc>
        <w:tc>
          <w:tcPr>
            <w:tcW w:w="3325" w:type="dxa"/>
            <w:tcBorders>
              <w:left w:val="single" w:color="auto" w:sz="4" w:space="0"/>
            </w:tcBorders>
            <w:vAlign w:val="center"/>
          </w:tcPr>
          <w:p>
            <w:pPr>
              <w:adjustRightInd w:val="0"/>
              <w:snapToGrid w:val="0"/>
              <w:spacing w:line="400" w:lineRule="exact"/>
              <w:jc w:val="center"/>
              <w:rPr>
                <w:rFonts w:ascii="仿宋" w:hAnsi="仿宋" w:eastAsia="仿宋"/>
                <w:sz w:val="28"/>
                <w:szCs w:val="28"/>
              </w:rPr>
            </w:pPr>
            <w:r>
              <w:rPr>
                <w:rFonts w:hint="eastAsia" w:ascii="仿宋" w:hAnsi="仿宋" w:eastAsia="仿宋"/>
                <w:sz w:val="28"/>
                <w:szCs w:val="28"/>
              </w:rPr>
              <w:t>18008856088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566" w:type="dxa"/>
            <w:vMerge w:val="continue"/>
          </w:tcPr>
          <w:p>
            <w:pPr>
              <w:adjustRightInd w:val="0"/>
              <w:snapToGrid w:val="0"/>
              <w:spacing w:line="400" w:lineRule="exact"/>
              <w:rPr>
                <w:rFonts w:ascii="仿宋" w:hAnsi="仿宋" w:eastAsia="仿宋"/>
                <w:sz w:val="28"/>
                <w:szCs w:val="28"/>
              </w:rPr>
            </w:pPr>
          </w:p>
        </w:tc>
        <w:tc>
          <w:tcPr>
            <w:tcW w:w="1625" w:type="dxa"/>
            <w:tcBorders>
              <w:right w:val="single" w:color="auto" w:sz="4" w:space="0"/>
            </w:tcBorders>
            <w:vAlign w:val="center"/>
          </w:tcPr>
          <w:p>
            <w:pPr>
              <w:adjustRightInd w:val="0"/>
              <w:snapToGrid w:val="0"/>
              <w:spacing w:line="400" w:lineRule="exact"/>
              <w:jc w:val="center"/>
              <w:rPr>
                <w:rFonts w:ascii="楷体" w:hAnsi="楷体" w:eastAsia="楷体"/>
              </w:rPr>
            </w:pPr>
            <w:r>
              <w:rPr>
                <w:rFonts w:hint="eastAsia" w:ascii="楷体" w:hAnsi="楷体" w:eastAsia="楷体"/>
              </w:rPr>
              <w:t>电子邮箱</w:t>
            </w:r>
          </w:p>
        </w:tc>
        <w:tc>
          <w:tcPr>
            <w:tcW w:w="3325" w:type="dxa"/>
            <w:tcBorders>
              <w:left w:val="single" w:color="auto" w:sz="4" w:space="0"/>
            </w:tcBorders>
            <w:vAlign w:val="center"/>
          </w:tcPr>
          <w:p>
            <w:pPr>
              <w:adjustRightInd w:val="0"/>
              <w:snapToGrid w:val="0"/>
              <w:spacing w:line="400" w:lineRule="exact"/>
              <w:jc w:val="center"/>
              <w:rPr>
                <w:rFonts w:ascii="仿宋" w:hAnsi="仿宋" w:eastAsia="仿宋"/>
                <w:sz w:val="28"/>
                <w:szCs w:val="28"/>
              </w:rPr>
            </w:pPr>
            <w:r>
              <w:rPr>
                <w:rFonts w:hint="eastAsia" w:ascii="仿宋" w:hAnsi="仿宋" w:eastAsia="仿宋" w:cs="Times New Roman"/>
                <w:sz w:val="28"/>
                <w:szCs w:val="28"/>
              </w:rPr>
              <w:t>692560154@qq.com</w:t>
            </w:r>
          </w:p>
        </w:tc>
      </w:tr>
    </w:tbl>
    <w:p>
      <w:pPr>
        <w:spacing w:before="163"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（二）开放运行和示范辐射情况</w:t>
      </w:r>
    </w:p>
    <w:p>
      <w:pPr>
        <w:spacing w:before="163" w:after="163" w:line="360" w:lineRule="auto"/>
        <w:ind w:firstLine="480" w:firstLineChars="200"/>
        <w:rPr>
          <w:rFonts w:ascii="黑体" w:hAnsi="黑体" w:eastAsia="黑体" w:cs="仿宋_GB2312"/>
        </w:rPr>
      </w:pPr>
      <w:r>
        <w:rPr>
          <w:rFonts w:hint="eastAsia" w:ascii="黑体" w:hAnsi="黑体" w:eastAsia="黑体" w:cs="仿宋_GB2312"/>
        </w:rPr>
        <w:t>1.参加示范中心联席会活动情况</w:t>
      </w:r>
    </w:p>
    <w:tbl>
      <w:tblPr>
        <w:tblStyle w:val="7"/>
        <w:tblW w:w="851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783"/>
        <w:gridCol w:w="373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783" w:type="dxa"/>
            <w:vAlign w:val="center"/>
          </w:tcPr>
          <w:p>
            <w:pPr>
              <w:adjustRightInd w:val="0"/>
              <w:snapToGrid w:val="0"/>
              <w:spacing w:line="400" w:lineRule="exact"/>
              <w:jc w:val="center"/>
              <w:rPr>
                <w:rFonts w:ascii="黑体" w:hAnsi="黑体" w:eastAsia="黑体" w:cs="仿宋_GB2312"/>
              </w:rPr>
            </w:pPr>
            <w:r>
              <w:rPr>
                <w:rFonts w:hint="eastAsia" w:ascii="黑体" w:hAnsi="黑体" w:eastAsia="黑体" w:cs="仿宋_GB2312"/>
              </w:rPr>
              <w:t>所在示范中心联席会学科组名称</w:t>
            </w:r>
          </w:p>
        </w:tc>
        <w:tc>
          <w:tcPr>
            <w:tcW w:w="3733" w:type="dxa"/>
            <w:vAlign w:val="center"/>
          </w:tcPr>
          <w:p>
            <w:pPr>
              <w:adjustRightInd w:val="0"/>
              <w:snapToGrid w:val="0"/>
              <w:spacing w:line="400" w:lineRule="exact"/>
              <w:jc w:val="center"/>
              <w:rPr>
                <w:rFonts w:ascii="仿宋" w:hAnsi="仿宋" w:eastAsia="仿宋" w:cs="仿宋_GB2312"/>
                <w:sz w:val="28"/>
                <w:szCs w:val="28"/>
              </w:rPr>
            </w:pPr>
            <w:r>
              <w:rPr>
                <w:rFonts w:hint="eastAsia" w:ascii="仿宋" w:hAnsi="仿宋" w:eastAsia="仿宋" w:cs="Times New Roman"/>
                <w:sz w:val="28"/>
                <w:szCs w:val="28"/>
              </w:rPr>
              <w:t>临床</w:t>
            </w:r>
            <w:r>
              <w:rPr>
                <w:rFonts w:hint="eastAsia" w:ascii="宋体" w:hAnsi="宋体" w:eastAsia="宋体" w:cs="宋体"/>
                <w:sz w:val="28"/>
                <w:szCs w:val="28"/>
              </w:rPr>
              <w:t>/</w:t>
            </w:r>
            <w:r>
              <w:rPr>
                <w:rFonts w:hint="eastAsia" w:ascii="仿宋" w:hAnsi="仿宋" w:eastAsia="仿宋" w:cs="仿宋"/>
                <w:sz w:val="28"/>
                <w:szCs w:val="28"/>
              </w:rPr>
              <w:t>公卫组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783" w:type="dxa"/>
            <w:vAlign w:val="center"/>
          </w:tcPr>
          <w:p>
            <w:pPr>
              <w:adjustRightInd w:val="0"/>
              <w:snapToGrid w:val="0"/>
              <w:spacing w:line="400" w:lineRule="exact"/>
              <w:ind w:firstLine="480" w:firstLineChars="200"/>
              <w:jc w:val="center"/>
              <w:rPr>
                <w:rFonts w:ascii="黑体" w:hAnsi="黑体" w:eastAsia="黑体" w:cs="仿宋_GB2312"/>
              </w:rPr>
            </w:pPr>
            <w:r>
              <w:rPr>
                <w:rFonts w:hint="eastAsia" w:ascii="黑体" w:hAnsi="黑体" w:eastAsia="黑体" w:cs="仿宋_GB2312"/>
              </w:rPr>
              <w:t>参加活动的人次数</w:t>
            </w:r>
          </w:p>
        </w:tc>
        <w:tc>
          <w:tcPr>
            <w:tcW w:w="3733" w:type="dxa"/>
          </w:tcPr>
          <w:p>
            <w:pPr>
              <w:adjustRightInd w:val="0"/>
              <w:snapToGrid w:val="0"/>
              <w:spacing w:line="400" w:lineRule="exact"/>
              <w:jc w:val="center"/>
              <w:rPr>
                <w:rFonts w:ascii="仿宋" w:hAnsi="仿宋" w:eastAsia="仿宋" w:cs="仿宋_GB2312"/>
                <w:sz w:val="28"/>
                <w:szCs w:val="28"/>
              </w:rPr>
            </w:pPr>
            <w:r>
              <w:rPr>
                <w:rFonts w:hint="eastAsia" w:ascii="仿宋" w:hAnsi="仿宋" w:eastAsia="仿宋" w:cs="仿宋"/>
                <w:sz w:val="28"/>
                <w:szCs w:val="28"/>
              </w:rPr>
              <w:t>2</w:t>
            </w:r>
            <w:r>
              <w:rPr>
                <w:rFonts w:hint="eastAsia" w:ascii="仿宋" w:hAnsi="仿宋" w:eastAsia="仿宋" w:cs="仿宋_GB2312"/>
                <w:sz w:val="28"/>
                <w:szCs w:val="28"/>
              </w:rPr>
              <w:t>人次</w:t>
            </w:r>
          </w:p>
        </w:tc>
      </w:tr>
    </w:tbl>
    <w:p>
      <w:pPr>
        <w:spacing w:before="163" w:after="163" w:line="360" w:lineRule="auto"/>
        <w:ind w:firstLine="480" w:firstLineChars="200"/>
        <w:rPr>
          <w:rFonts w:ascii="黑体" w:hAnsi="黑体" w:eastAsia="黑体"/>
        </w:rPr>
      </w:pPr>
      <w:r>
        <w:rPr>
          <w:rFonts w:hint="eastAsia" w:ascii="黑体" w:hAnsi="黑体" w:eastAsia="黑体" w:cs="仿宋_GB2312"/>
        </w:rPr>
        <w:t>2.承办大型会议情况</w:t>
      </w:r>
    </w:p>
    <w:tbl>
      <w:tblPr>
        <w:tblStyle w:val="6"/>
        <w:tblW w:w="851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742"/>
        <w:gridCol w:w="1980"/>
        <w:gridCol w:w="1680"/>
        <w:gridCol w:w="765"/>
        <w:gridCol w:w="900"/>
        <w:gridCol w:w="7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709"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序号</w:t>
            </w:r>
          </w:p>
        </w:tc>
        <w:tc>
          <w:tcPr>
            <w:tcW w:w="1742"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会议名称</w:t>
            </w:r>
          </w:p>
        </w:tc>
        <w:tc>
          <w:tcPr>
            <w:tcW w:w="198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主办单位名称</w:t>
            </w:r>
          </w:p>
        </w:tc>
        <w:tc>
          <w:tcPr>
            <w:tcW w:w="168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会议主席</w:t>
            </w:r>
          </w:p>
        </w:tc>
        <w:tc>
          <w:tcPr>
            <w:tcW w:w="765" w:type="dxa"/>
            <w:vAlign w:val="center"/>
          </w:tcPr>
          <w:p>
            <w:pPr>
              <w:adjustRightInd w:val="0"/>
              <w:snapToGrid w:val="0"/>
              <w:spacing w:line="400" w:lineRule="exact"/>
              <w:jc w:val="center"/>
              <w:rPr>
                <w:rFonts w:ascii="黑体" w:hAnsi="黑体" w:eastAsia="黑体"/>
              </w:rPr>
            </w:pPr>
            <w:r>
              <w:rPr>
                <w:rFonts w:hint="eastAsia" w:ascii="黑体" w:hAnsi="黑体" w:eastAsia="黑体"/>
              </w:rPr>
              <w:t>参加人数</w:t>
            </w:r>
          </w:p>
        </w:tc>
        <w:tc>
          <w:tcPr>
            <w:tcW w:w="90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时间</w:t>
            </w:r>
          </w:p>
        </w:tc>
        <w:tc>
          <w:tcPr>
            <w:tcW w:w="74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09" w:type="dxa"/>
            <w:vAlign w:val="center"/>
          </w:tcPr>
          <w:p>
            <w:pPr>
              <w:adjustRightInd w:val="0"/>
              <w:snapToGrid w:val="0"/>
              <w:spacing w:line="400" w:lineRule="exact"/>
              <w:jc w:val="center"/>
              <w:rPr>
                <w:rFonts w:asciiTheme="minorEastAsia" w:hAnsiTheme="minorEastAsia" w:cstheme="minorEastAsia"/>
              </w:rPr>
            </w:pPr>
          </w:p>
        </w:tc>
        <w:tc>
          <w:tcPr>
            <w:tcW w:w="1742" w:type="dxa"/>
            <w:vAlign w:val="center"/>
          </w:tcPr>
          <w:p>
            <w:pPr>
              <w:adjustRightInd w:val="0"/>
              <w:snapToGrid w:val="0"/>
              <w:spacing w:line="400" w:lineRule="exact"/>
              <w:jc w:val="center"/>
              <w:rPr>
                <w:rFonts w:asciiTheme="minorEastAsia" w:hAnsiTheme="minorEastAsia" w:cstheme="minorEastAsia"/>
              </w:rPr>
            </w:pPr>
          </w:p>
        </w:tc>
        <w:tc>
          <w:tcPr>
            <w:tcW w:w="1980" w:type="dxa"/>
            <w:vAlign w:val="center"/>
          </w:tcPr>
          <w:p>
            <w:pPr>
              <w:adjustRightInd w:val="0"/>
              <w:snapToGrid w:val="0"/>
              <w:spacing w:line="400" w:lineRule="exact"/>
              <w:jc w:val="center"/>
              <w:rPr>
                <w:rFonts w:asciiTheme="minorEastAsia" w:hAnsiTheme="minorEastAsia" w:cstheme="minorEastAsia"/>
              </w:rPr>
            </w:pPr>
          </w:p>
        </w:tc>
        <w:tc>
          <w:tcPr>
            <w:tcW w:w="1680" w:type="dxa"/>
            <w:vAlign w:val="center"/>
          </w:tcPr>
          <w:p>
            <w:pPr>
              <w:adjustRightInd w:val="0"/>
              <w:snapToGrid w:val="0"/>
              <w:spacing w:line="400" w:lineRule="exact"/>
              <w:jc w:val="center"/>
              <w:rPr>
                <w:rFonts w:asciiTheme="minorEastAsia" w:hAnsiTheme="minorEastAsia" w:cstheme="minorEastAsia"/>
              </w:rPr>
            </w:pPr>
          </w:p>
        </w:tc>
        <w:tc>
          <w:tcPr>
            <w:tcW w:w="765" w:type="dxa"/>
            <w:vAlign w:val="center"/>
          </w:tcPr>
          <w:p>
            <w:pPr>
              <w:adjustRightInd w:val="0"/>
              <w:snapToGrid w:val="0"/>
              <w:spacing w:line="400" w:lineRule="exact"/>
              <w:jc w:val="center"/>
              <w:rPr>
                <w:rFonts w:asciiTheme="minorEastAsia" w:hAnsiTheme="minorEastAsia" w:cstheme="minorEastAsia"/>
              </w:rPr>
            </w:pPr>
          </w:p>
        </w:tc>
        <w:tc>
          <w:tcPr>
            <w:tcW w:w="900" w:type="dxa"/>
            <w:vAlign w:val="center"/>
          </w:tcPr>
          <w:p>
            <w:pPr>
              <w:adjustRightInd w:val="0"/>
              <w:snapToGrid w:val="0"/>
              <w:spacing w:line="400" w:lineRule="exact"/>
              <w:jc w:val="center"/>
              <w:rPr>
                <w:rFonts w:asciiTheme="minorEastAsia" w:hAnsiTheme="minorEastAsia" w:cstheme="minorEastAsia"/>
              </w:rPr>
            </w:pPr>
          </w:p>
        </w:tc>
        <w:tc>
          <w:tcPr>
            <w:tcW w:w="740" w:type="dxa"/>
            <w:vAlign w:val="center"/>
          </w:tcPr>
          <w:p>
            <w:pPr>
              <w:adjustRightInd w:val="0"/>
              <w:snapToGrid w:val="0"/>
              <w:spacing w:line="400" w:lineRule="exact"/>
              <w:jc w:val="center"/>
              <w:rPr>
                <w:rFonts w:asciiTheme="minorEastAsia" w:hAnsiTheme="minorEastAsia" w:cstheme="minorEastAsia"/>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09" w:type="dxa"/>
            <w:vAlign w:val="center"/>
          </w:tcPr>
          <w:p>
            <w:pPr>
              <w:adjustRightInd w:val="0"/>
              <w:snapToGrid w:val="0"/>
              <w:spacing w:line="400" w:lineRule="exact"/>
              <w:jc w:val="center"/>
              <w:rPr>
                <w:rFonts w:asciiTheme="minorEastAsia" w:hAnsiTheme="minorEastAsia" w:cstheme="minorEastAsia"/>
              </w:rPr>
            </w:pPr>
          </w:p>
        </w:tc>
        <w:tc>
          <w:tcPr>
            <w:tcW w:w="1742" w:type="dxa"/>
            <w:vAlign w:val="center"/>
          </w:tcPr>
          <w:p>
            <w:pPr>
              <w:adjustRightInd w:val="0"/>
              <w:snapToGrid w:val="0"/>
              <w:spacing w:line="400" w:lineRule="exact"/>
              <w:jc w:val="center"/>
              <w:rPr>
                <w:rFonts w:asciiTheme="minorEastAsia" w:hAnsiTheme="minorEastAsia" w:cstheme="minorEastAsia"/>
                <w:sz w:val="28"/>
                <w:szCs w:val="28"/>
              </w:rPr>
            </w:pPr>
          </w:p>
        </w:tc>
        <w:tc>
          <w:tcPr>
            <w:tcW w:w="1980" w:type="dxa"/>
            <w:vAlign w:val="center"/>
          </w:tcPr>
          <w:p>
            <w:pPr>
              <w:adjustRightInd w:val="0"/>
              <w:snapToGrid w:val="0"/>
              <w:spacing w:line="400" w:lineRule="exact"/>
              <w:jc w:val="center"/>
              <w:rPr>
                <w:rFonts w:asciiTheme="minorEastAsia" w:hAnsiTheme="minorEastAsia" w:cstheme="minorEastAsia"/>
                <w:sz w:val="28"/>
                <w:szCs w:val="28"/>
              </w:rPr>
            </w:pPr>
          </w:p>
        </w:tc>
        <w:tc>
          <w:tcPr>
            <w:tcW w:w="1680" w:type="dxa"/>
            <w:vAlign w:val="center"/>
          </w:tcPr>
          <w:p>
            <w:pPr>
              <w:adjustRightInd w:val="0"/>
              <w:snapToGrid w:val="0"/>
              <w:spacing w:line="400" w:lineRule="exact"/>
              <w:jc w:val="center"/>
              <w:rPr>
                <w:rFonts w:asciiTheme="minorEastAsia" w:hAnsiTheme="minorEastAsia" w:cstheme="minorEastAsia"/>
                <w:sz w:val="28"/>
                <w:szCs w:val="28"/>
              </w:rPr>
            </w:pPr>
          </w:p>
        </w:tc>
        <w:tc>
          <w:tcPr>
            <w:tcW w:w="765" w:type="dxa"/>
            <w:vAlign w:val="center"/>
          </w:tcPr>
          <w:p>
            <w:pPr>
              <w:adjustRightInd w:val="0"/>
              <w:snapToGrid w:val="0"/>
              <w:spacing w:line="400" w:lineRule="exact"/>
              <w:jc w:val="center"/>
              <w:rPr>
                <w:rFonts w:asciiTheme="minorEastAsia" w:hAnsiTheme="minorEastAsia" w:cstheme="minorEastAsia"/>
                <w:sz w:val="28"/>
                <w:szCs w:val="28"/>
              </w:rPr>
            </w:pPr>
          </w:p>
        </w:tc>
        <w:tc>
          <w:tcPr>
            <w:tcW w:w="900" w:type="dxa"/>
            <w:vAlign w:val="center"/>
          </w:tcPr>
          <w:p>
            <w:pPr>
              <w:adjustRightInd w:val="0"/>
              <w:snapToGrid w:val="0"/>
              <w:spacing w:line="400" w:lineRule="exact"/>
              <w:jc w:val="center"/>
              <w:rPr>
                <w:rFonts w:asciiTheme="minorEastAsia" w:hAnsiTheme="minorEastAsia" w:cstheme="minorEastAsia"/>
                <w:sz w:val="28"/>
                <w:szCs w:val="28"/>
              </w:rPr>
            </w:pPr>
          </w:p>
        </w:tc>
        <w:tc>
          <w:tcPr>
            <w:tcW w:w="740" w:type="dxa"/>
            <w:vAlign w:val="center"/>
          </w:tcPr>
          <w:p>
            <w:pPr>
              <w:adjustRightInd w:val="0"/>
              <w:snapToGrid w:val="0"/>
              <w:spacing w:line="400" w:lineRule="exact"/>
              <w:jc w:val="center"/>
              <w:rPr>
                <w:rFonts w:asciiTheme="minorEastAsia" w:hAnsiTheme="minorEastAsia" w:cstheme="minorEastAsia"/>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09" w:type="dxa"/>
            <w:vAlign w:val="center"/>
          </w:tcPr>
          <w:p>
            <w:pPr>
              <w:adjustRightInd w:val="0"/>
              <w:snapToGrid w:val="0"/>
              <w:spacing w:line="400" w:lineRule="exact"/>
              <w:jc w:val="center"/>
              <w:rPr>
                <w:rFonts w:asciiTheme="minorEastAsia" w:hAnsiTheme="minorEastAsia" w:cstheme="minorEastAsia"/>
              </w:rPr>
            </w:pPr>
          </w:p>
        </w:tc>
        <w:tc>
          <w:tcPr>
            <w:tcW w:w="1742" w:type="dxa"/>
            <w:vAlign w:val="center"/>
          </w:tcPr>
          <w:p>
            <w:pPr>
              <w:adjustRightInd w:val="0"/>
              <w:snapToGrid w:val="0"/>
              <w:spacing w:line="400" w:lineRule="exact"/>
              <w:jc w:val="center"/>
              <w:rPr>
                <w:rFonts w:asciiTheme="minorEastAsia" w:hAnsiTheme="minorEastAsia" w:cstheme="minorEastAsia"/>
                <w:sz w:val="28"/>
                <w:szCs w:val="28"/>
              </w:rPr>
            </w:pPr>
          </w:p>
        </w:tc>
        <w:tc>
          <w:tcPr>
            <w:tcW w:w="1980" w:type="dxa"/>
            <w:vAlign w:val="center"/>
          </w:tcPr>
          <w:p>
            <w:pPr>
              <w:adjustRightInd w:val="0"/>
              <w:snapToGrid w:val="0"/>
              <w:spacing w:line="400" w:lineRule="exact"/>
              <w:jc w:val="center"/>
              <w:rPr>
                <w:rFonts w:asciiTheme="minorEastAsia" w:hAnsiTheme="minorEastAsia" w:cstheme="minorEastAsia"/>
                <w:sz w:val="28"/>
                <w:szCs w:val="28"/>
              </w:rPr>
            </w:pPr>
          </w:p>
        </w:tc>
        <w:tc>
          <w:tcPr>
            <w:tcW w:w="1680" w:type="dxa"/>
            <w:vAlign w:val="center"/>
          </w:tcPr>
          <w:p>
            <w:pPr>
              <w:adjustRightInd w:val="0"/>
              <w:snapToGrid w:val="0"/>
              <w:spacing w:line="400" w:lineRule="exact"/>
              <w:jc w:val="center"/>
              <w:rPr>
                <w:rFonts w:asciiTheme="minorEastAsia" w:hAnsiTheme="minorEastAsia" w:cstheme="minorEastAsia"/>
                <w:sz w:val="28"/>
                <w:szCs w:val="28"/>
              </w:rPr>
            </w:pPr>
          </w:p>
        </w:tc>
        <w:tc>
          <w:tcPr>
            <w:tcW w:w="765" w:type="dxa"/>
            <w:vAlign w:val="center"/>
          </w:tcPr>
          <w:p>
            <w:pPr>
              <w:adjustRightInd w:val="0"/>
              <w:snapToGrid w:val="0"/>
              <w:spacing w:line="400" w:lineRule="exact"/>
              <w:jc w:val="center"/>
              <w:rPr>
                <w:rFonts w:asciiTheme="minorEastAsia" w:hAnsiTheme="minorEastAsia" w:cstheme="minorEastAsia"/>
                <w:sz w:val="28"/>
                <w:szCs w:val="28"/>
              </w:rPr>
            </w:pPr>
          </w:p>
        </w:tc>
        <w:tc>
          <w:tcPr>
            <w:tcW w:w="900" w:type="dxa"/>
            <w:vAlign w:val="center"/>
          </w:tcPr>
          <w:p>
            <w:pPr>
              <w:adjustRightInd w:val="0"/>
              <w:snapToGrid w:val="0"/>
              <w:spacing w:line="400" w:lineRule="exact"/>
              <w:jc w:val="center"/>
              <w:rPr>
                <w:rFonts w:asciiTheme="minorEastAsia" w:hAnsiTheme="minorEastAsia" w:cstheme="minorEastAsia"/>
                <w:sz w:val="28"/>
                <w:szCs w:val="28"/>
              </w:rPr>
            </w:pPr>
          </w:p>
        </w:tc>
        <w:tc>
          <w:tcPr>
            <w:tcW w:w="740" w:type="dxa"/>
          </w:tcPr>
          <w:p>
            <w:pPr>
              <w:adjustRightInd w:val="0"/>
              <w:snapToGrid w:val="0"/>
              <w:spacing w:line="400" w:lineRule="exact"/>
              <w:jc w:val="center"/>
              <w:rPr>
                <w:rFonts w:asciiTheme="minorEastAsia" w:hAnsiTheme="minorEastAsia" w:cstheme="minorEastAsia"/>
                <w:sz w:val="28"/>
                <w:szCs w:val="28"/>
              </w:rPr>
            </w:pPr>
          </w:p>
        </w:tc>
      </w:tr>
    </w:tbl>
    <w:p>
      <w:pPr>
        <w:adjustRightInd w:val="0"/>
        <w:snapToGrid w:val="0"/>
        <w:spacing w:line="360" w:lineRule="auto"/>
        <w:ind w:firstLine="480" w:firstLineChars="200"/>
        <w:rPr>
          <w:rFonts w:ascii="楷体" w:hAnsi="楷体" w:eastAsia="楷体"/>
          <w:bCs/>
        </w:rPr>
      </w:pPr>
    </w:p>
    <w:p>
      <w:pPr>
        <w:adjustRightInd w:val="0"/>
        <w:snapToGrid w:val="0"/>
        <w:spacing w:line="360" w:lineRule="auto"/>
        <w:ind w:firstLine="480" w:firstLineChars="200"/>
        <w:rPr>
          <w:rFonts w:ascii="楷体" w:hAnsi="楷体" w:eastAsia="楷体"/>
        </w:rPr>
      </w:pPr>
      <w:r>
        <w:rPr>
          <w:rFonts w:hint="eastAsia" w:ascii="楷体" w:hAnsi="楷体" w:eastAsia="楷体"/>
          <w:bCs/>
        </w:rPr>
        <w:t>注</w:t>
      </w:r>
      <w:r>
        <w:rPr>
          <w:rFonts w:hint="eastAsia" w:ascii="楷体" w:hAnsi="楷体" w:eastAsia="楷体"/>
        </w:rPr>
        <w:t>：主办或协办由主管部门、一级学会或示范中心联席会批准的会议。</w:t>
      </w:r>
      <w:r>
        <w:rPr>
          <w:rFonts w:hint="eastAsia" w:ascii="楷体" w:hAnsi="楷体" w:eastAsia="楷体" w:cs="仿宋_GB2312"/>
        </w:rPr>
        <w:t>请按全球性、</w:t>
      </w:r>
      <w:r>
        <w:rPr>
          <w:rFonts w:hint="eastAsia" w:ascii="楷体" w:hAnsi="楷体" w:eastAsia="楷体"/>
        </w:rPr>
        <w:t>区域性</w:t>
      </w:r>
      <w:r>
        <w:rPr>
          <w:rFonts w:hint="eastAsia" w:ascii="楷体" w:hAnsi="楷体" w:eastAsia="楷体" w:cs="仿宋_GB2312"/>
        </w:rPr>
        <w:t>、双边性、全国性等排序，并在类型栏中标明。</w:t>
      </w:r>
    </w:p>
    <w:p>
      <w:pPr>
        <w:spacing w:before="50" w:after="163" w:line="360" w:lineRule="auto"/>
        <w:ind w:firstLine="470" w:firstLineChars="196"/>
        <w:rPr>
          <w:rFonts w:ascii="黑体" w:hAnsi="黑体" w:eastAsia="黑体" w:cs="仿宋_GB2312"/>
        </w:rPr>
      </w:pPr>
      <w:r>
        <w:rPr>
          <w:rFonts w:hint="eastAsia" w:ascii="黑体" w:hAnsi="黑体" w:eastAsia="黑体" w:cs="仿宋_GB2312"/>
        </w:rPr>
        <w:t>3.参加大型会议情况</w:t>
      </w:r>
    </w:p>
    <w:tbl>
      <w:tblPr>
        <w:tblStyle w:val="6"/>
        <w:tblW w:w="864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0"/>
        <w:gridCol w:w="1658"/>
        <w:gridCol w:w="1665"/>
        <w:gridCol w:w="2895"/>
        <w:gridCol w:w="900"/>
        <w:gridCol w:w="80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序号</w:t>
            </w:r>
          </w:p>
        </w:tc>
        <w:tc>
          <w:tcPr>
            <w:tcW w:w="165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大会报告名称</w:t>
            </w:r>
          </w:p>
        </w:tc>
        <w:tc>
          <w:tcPr>
            <w:tcW w:w="166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报告人</w:t>
            </w:r>
          </w:p>
        </w:tc>
        <w:tc>
          <w:tcPr>
            <w:tcW w:w="289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会议名称</w:t>
            </w:r>
          </w:p>
        </w:tc>
        <w:tc>
          <w:tcPr>
            <w:tcW w:w="90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时间</w:t>
            </w:r>
          </w:p>
        </w:tc>
        <w:tc>
          <w:tcPr>
            <w:tcW w:w="80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黑体" w:hAnsi="黑体" w:eastAsia="黑体" w:cs="Times New Roman"/>
              </w:rPr>
            </w:pPr>
            <w:r>
              <w:rPr>
                <w:rFonts w:hint="eastAsia" w:ascii="黑体" w:hAnsi="黑体" w:eastAsia="黑体" w:cs="黑体"/>
              </w:rPr>
              <w:t>地点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kern w:val="0"/>
              </w:rPr>
            </w:pPr>
            <w:r>
              <w:rPr>
                <w:rFonts w:hint="eastAsia" w:ascii="楷体" w:hAnsi="楷体" w:eastAsia="楷体" w:cs="楷体"/>
                <w:kern w:val="0"/>
              </w:rPr>
              <w:t>1</w:t>
            </w:r>
          </w:p>
        </w:tc>
        <w:tc>
          <w:tcPr>
            <w:tcW w:w="165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lang w:eastAsia="zh-CN"/>
              </w:rPr>
            </w:pPr>
            <w:r>
              <w:rPr>
                <w:rFonts w:hint="eastAsia" w:ascii="楷体" w:hAnsi="楷体" w:eastAsia="楷体" w:cs="楷体"/>
                <w:kern w:val="0"/>
                <w:lang w:eastAsia="zh-CN"/>
              </w:rPr>
              <w:t>总裁判长</w:t>
            </w:r>
          </w:p>
        </w:tc>
        <w:tc>
          <w:tcPr>
            <w:tcW w:w="166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rPr>
            </w:pPr>
            <w:r>
              <w:rPr>
                <w:rFonts w:hint="eastAsia" w:ascii="楷体" w:hAnsi="楷体" w:eastAsia="楷体" w:cs="楷体"/>
                <w:kern w:val="0"/>
              </w:rPr>
              <w:t>杨玉萍</w:t>
            </w:r>
          </w:p>
        </w:tc>
        <w:tc>
          <w:tcPr>
            <w:tcW w:w="289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rPr>
            </w:pPr>
            <w:r>
              <w:rPr>
                <w:rFonts w:hint="eastAsia" w:ascii="楷体" w:hAnsi="楷体" w:eastAsia="楷体" w:cs="楷体"/>
                <w:kern w:val="0"/>
                <w:lang w:val="en-US" w:eastAsia="zh-CN"/>
              </w:rPr>
              <w:t>担任云南省执业技能大赛医学类竞赛的总裁判长</w:t>
            </w:r>
          </w:p>
        </w:tc>
        <w:tc>
          <w:tcPr>
            <w:tcW w:w="90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default" w:ascii="楷体" w:hAnsi="楷体" w:eastAsia="楷体" w:cs="楷体"/>
                <w:kern w:val="0"/>
                <w:lang w:val="en-US" w:eastAsia="zh-CN"/>
              </w:rPr>
            </w:pPr>
            <w:r>
              <w:rPr>
                <w:rFonts w:hint="eastAsia" w:ascii="楷体" w:hAnsi="楷体" w:eastAsia="楷体" w:cs="楷体"/>
                <w:kern w:val="0"/>
                <w:lang w:val="en-US" w:eastAsia="zh-CN"/>
              </w:rPr>
              <w:t>1</w:t>
            </w:r>
            <w:r>
              <w:rPr>
                <w:rFonts w:hint="eastAsia" w:ascii="楷体" w:hAnsi="楷体" w:eastAsia="楷体" w:cs="楷体"/>
                <w:kern w:val="0"/>
              </w:rPr>
              <w:t>.</w:t>
            </w:r>
            <w:r>
              <w:rPr>
                <w:rFonts w:hint="eastAsia" w:ascii="楷体" w:hAnsi="楷体" w:eastAsia="楷体" w:cs="楷体"/>
                <w:kern w:val="0"/>
                <w:lang w:val="en-US" w:eastAsia="zh-CN"/>
              </w:rPr>
              <w:t>11</w:t>
            </w:r>
          </w:p>
        </w:tc>
        <w:tc>
          <w:tcPr>
            <w:tcW w:w="80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lang w:val="en-US" w:eastAsia="zh-CN"/>
              </w:rPr>
            </w:pPr>
            <w:r>
              <w:rPr>
                <w:rFonts w:hint="eastAsia" w:ascii="楷体" w:hAnsi="楷体" w:eastAsia="楷体" w:cs="楷体"/>
                <w:kern w:val="0"/>
                <w:lang w:val="en-US" w:eastAsia="zh-CN"/>
              </w:rPr>
              <w:t>蒙自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kern w:val="0"/>
              </w:rPr>
            </w:pPr>
            <w:r>
              <w:rPr>
                <w:rFonts w:hint="eastAsia" w:ascii="楷体" w:hAnsi="楷体" w:eastAsia="楷体" w:cs="楷体"/>
                <w:kern w:val="0"/>
              </w:rPr>
              <w:t>2</w:t>
            </w:r>
          </w:p>
        </w:tc>
        <w:tc>
          <w:tcPr>
            <w:tcW w:w="165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rPr>
            </w:pPr>
            <w:r>
              <w:rPr>
                <w:rFonts w:hint="eastAsia" w:ascii="楷体" w:hAnsi="楷体" w:eastAsia="楷体" w:cs="楷体"/>
                <w:kern w:val="0"/>
              </w:rPr>
              <w:t>讨论发言</w:t>
            </w:r>
          </w:p>
        </w:tc>
        <w:tc>
          <w:tcPr>
            <w:tcW w:w="166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rPr>
            </w:pPr>
            <w:r>
              <w:rPr>
                <w:rFonts w:hint="eastAsia" w:ascii="楷体" w:hAnsi="楷体" w:eastAsia="楷体" w:cs="楷体"/>
                <w:kern w:val="0"/>
                <w:lang w:val="en-US" w:eastAsia="zh-CN"/>
              </w:rPr>
              <w:t>陶芸、寸碧芸、杨蕴芝、崔乐乐</w:t>
            </w:r>
          </w:p>
        </w:tc>
        <w:tc>
          <w:tcPr>
            <w:tcW w:w="289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rPr>
            </w:pPr>
            <w:r>
              <w:rPr>
                <w:rFonts w:hint="eastAsia" w:ascii="楷体" w:hAnsi="楷体" w:eastAsia="楷体" w:cs="楷体"/>
                <w:kern w:val="0"/>
                <w:lang w:val="en-US" w:eastAsia="zh-CN"/>
              </w:rPr>
              <w:t>全国医学教育发展中心举办的医学教育大讲堂作第一讲开讲报告网上培训</w:t>
            </w:r>
          </w:p>
        </w:tc>
        <w:tc>
          <w:tcPr>
            <w:tcW w:w="90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default" w:ascii="楷体" w:hAnsi="楷体" w:eastAsia="楷体" w:cs="楷体"/>
                <w:kern w:val="0"/>
                <w:lang w:val="en-US" w:eastAsia="zh-CN"/>
              </w:rPr>
            </w:pPr>
            <w:r>
              <w:rPr>
                <w:rFonts w:hint="eastAsia" w:ascii="楷体" w:hAnsi="楷体" w:eastAsia="楷体" w:cs="楷体"/>
                <w:kern w:val="0"/>
                <w:lang w:val="en-US" w:eastAsia="zh-CN"/>
              </w:rPr>
              <w:t>10.22</w:t>
            </w:r>
          </w:p>
        </w:tc>
        <w:tc>
          <w:tcPr>
            <w:tcW w:w="80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lang w:eastAsia="zh-CN"/>
              </w:rPr>
            </w:pPr>
            <w:r>
              <w:rPr>
                <w:rFonts w:hint="eastAsia" w:ascii="楷体" w:hAnsi="楷体" w:eastAsia="楷体" w:cs="楷体"/>
                <w:kern w:val="0"/>
                <w:lang w:eastAsia="zh-CN"/>
              </w:rPr>
              <w:t>昆明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2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kern w:val="0"/>
              </w:rPr>
            </w:pPr>
            <w:r>
              <w:rPr>
                <w:rFonts w:hint="eastAsia" w:ascii="楷体" w:hAnsi="楷体" w:eastAsia="楷体" w:cs="楷体"/>
                <w:kern w:val="0"/>
              </w:rPr>
              <w:t>3</w:t>
            </w:r>
          </w:p>
        </w:tc>
        <w:tc>
          <w:tcPr>
            <w:tcW w:w="165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kern w:val="0"/>
              </w:rPr>
            </w:pPr>
            <w:r>
              <w:rPr>
                <w:rFonts w:hint="eastAsia" w:ascii="楷体" w:hAnsi="楷体" w:eastAsia="楷体" w:cs="楷体"/>
                <w:kern w:val="0"/>
              </w:rPr>
              <w:t>讨论发言</w:t>
            </w:r>
          </w:p>
        </w:tc>
        <w:tc>
          <w:tcPr>
            <w:tcW w:w="166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lang w:val="en-US" w:eastAsia="zh-CN"/>
              </w:rPr>
            </w:pPr>
            <w:r>
              <w:rPr>
                <w:rFonts w:hint="eastAsia" w:ascii="楷体" w:hAnsi="楷体" w:eastAsia="楷体" w:cs="楷体"/>
                <w:kern w:val="0"/>
                <w:lang w:val="en-US" w:eastAsia="zh-CN"/>
              </w:rPr>
              <w:t>陶芸、郭艳、杨蕴芝</w:t>
            </w:r>
          </w:p>
        </w:tc>
        <w:tc>
          <w:tcPr>
            <w:tcW w:w="289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both"/>
              <w:rPr>
                <w:rFonts w:hint="default" w:ascii="楷体" w:hAnsi="楷体" w:eastAsia="楷体" w:cs="楷体"/>
                <w:kern w:val="0"/>
                <w:lang w:val="en-US" w:eastAsia="zh-CN"/>
              </w:rPr>
            </w:pPr>
            <w:r>
              <w:rPr>
                <w:rFonts w:hint="eastAsia" w:ascii="楷体" w:hAnsi="楷体" w:eastAsia="楷体" w:cs="楷体"/>
                <w:kern w:val="0"/>
                <w:lang w:val="en-US" w:eastAsia="zh-CN"/>
              </w:rPr>
              <w:t>医学人文和临床技能模拟教学师资培训网上学习班</w:t>
            </w:r>
          </w:p>
          <w:p>
            <w:pPr>
              <w:adjustRightInd w:val="0"/>
              <w:snapToGrid w:val="0"/>
              <w:spacing w:line="400" w:lineRule="exact"/>
              <w:jc w:val="center"/>
              <w:rPr>
                <w:rFonts w:hint="eastAsia" w:ascii="楷体" w:hAnsi="楷体" w:eastAsia="楷体" w:cs="楷体"/>
                <w:kern w:val="0"/>
                <w:lang w:val="en-US" w:eastAsia="zh-CN"/>
              </w:rPr>
            </w:pPr>
          </w:p>
        </w:tc>
        <w:tc>
          <w:tcPr>
            <w:tcW w:w="900"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ascii="楷体" w:hAnsi="楷体" w:eastAsia="楷体" w:cs="楷体"/>
                <w:kern w:val="0"/>
              </w:rPr>
            </w:pPr>
            <w:r>
              <w:rPr>
                <w:rFonts w:hint="eastAsia" w:ascii="楷体" w:hAnsi="楷体" w:eastAsia="楷体" w:cs="楷体"/>
                <w:kern w:val="0"/>
                <w:lang w:val="en-US" w:eastAsia="zh-CN"/>
              </w:rPr>
              <w:t>11</w:t>
            </w:r>
            <w:r>
              <w:rPr>
                <w:rFonts w:hint="eastAsia" w:ascii="楷体" w:hAnsi="楷体" w:eastAsia="楷体" w:cs="楷体"/>
                <w:kern w:val="0"/>
              </w:rPr>
              <w:t>.13</w:t>
            </w:r>
          </w:p>
        </w:tc>
        <w:tc>
          <w:tcPr>
            <w:tcW w:w="80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400" w:lineRule="exact"/>
              <w:jc w:val="center"/>
              <w:rPr>
                <w:rFonts w:hint="eastAsia" w:ascii="楷体" w:hAnsi="楷体" w:eastAsia="楷体" w:cs="楷体"/>
                <w:kern w:val="0"/>
                <w:lang w:eastAsia="zh-CN"/>
              </w:rPr>
            </w:pPr>
            <w:r>
              <w:rPr>
                <w:rFonts w:hint="eastAsia" w:ascii="楷体" w:hAnsi="楷体" w:eastAsia="楷体" w:cs="楷体"/>
                <w:kern w:val="0"/>
                <w:lang w:eastAsia="zh-CN"/>
              </w:rPr>
              <w:t>昆明</w:t>
            </w:r>
          </w:p>
        </w:tc>
      </w:tr>
    </w:tbl>
    <w:p>
      <w:pPr>
        <w:spacing w:before="163" w:line="360" w:lineRule="auto"/>
        <w:ind w:firstLine="480" w:firstLineChars="200"/>
        <w:rPr>
          <w:rFonts w:ascii="楷体" w:hAnsi="楷体" w:eastAsia="楷体"/>
        </w:rPr>
      </w:pPr>
      <w:r>
        <w:rPr>
          <w:rFonts w:hint="eastAsia" w:ascii="楷体" w:hAnsi="楷体" w:eastAsia="楷体" w:cs="仿宋_GB2312"/>
          <w:bCs/>
        </w:rPr>
        <w:t>注：大会报告：</w:t>
      </w:r>
      <w:r>
        <w:rPr>
          <w:rFonts w:hint="eastAsia" w:ascii="楷体" w:hAnsi="楷体" w:eastAsia="楷体" w:cs="仿宋_GB2312"/>
        </w:rPr>
        <w:t>指特邀报告。</w:t>
      </w:r>
    </w:p>
    <w:p>
      <w:pPr>
        <w:spacing w:before="50" w:after="163" w:line="360" w:lineRule="auto"/>
        <w:ind w:firstLine="480" w:firstLineChars="200"/>
        <w:rPr>
          <w:rFonts w:ascii="黑体" w:hAnsi="黑体" w:eastAsia="黑体" w:cs="仿宋_GB2312"/>
        </w:rPr>
      </w:pPr>
      <w:r>
        <w:rPr>
          <w:rFonts w:hint="eastAsia" w:ascii="黑体" w:hAnsi="黑体" w:eastAsia="黑体" w:cs="仿宋_GB2312"/>
        </w:rPr>
        <w:t>4.承办竞赛情况</w:t>
      </w:r>
    </w:p>
    <w:tbl>
      <w:tblPr>
        <w:tblStyle w:val="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74"/>
        <w:gridCol w:w="1277"/>
        <w:gridCol w:w="1276"/>
        <w:gridCol w:w="1276"/>
        <w:gridCol w:w="1168"/>
        <w:gridCol w:w="816"/>
        <w:gridCol w:w="850"/>
        <w:gridCol w:w="11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396" w:type="pct"/>
            <w:vAlign w:val="center"/>
          </w:tcPr>
          <w:p>
            <w:pPr>
              <w:ind w:left="-120" w:leftChars="-50" w:right="-120" w:rightChars="-50"/>
              <w:jc w:val="center"/>
              <w:rPr>
                <w:rFonts w:ascii="黑体" w:hAnsi="黑体" w:eastAsia="黑体"/>
              </w:rPr>
            </w:pPr>
            <w:r>
              <w:rPr>
                <w:rFonts w:hint="eastAsia" w:ascii="黑体" w:hAnsi="黑体" w:eastAsia="黑体" w:cs="宋体"/>
              </w:rPr>
              <w:t>序号</w:t>
            </w:r>
          </w:p>
        </w:tc>
        <w:tc>
          <w:tcPr>
            <w:tcW w:w="750" w:type="pct"/>
            <w:vAlign w:val="center"/>
          </w:tcPr>
          <w:p>
            <w:pPr>
              <w:jc w:val="center"/>
              <w:rPr>
                <w:rFonts w:ascii="黑体" w:hAnsi="黑体" w:eastAsia="黑体"/>
              </w:rPr>
            </w:pPr>
            <w:r>
              <w:rPr>
                <w:rFonts w:hint="eastAsia" w:ascii="黑体" w:hAnsi="黑体" w:eastAsia="黑体" w:cs="宋体"/>
              </w:rPr>
              <w:t>竞赛名称</w:t>
            </w:r>
          </w:p>
        </w:tc>
        <w:tc>
          <w:tcPr>
            <w:tcW w:w="749" w:type="pct"/>
            <w:vAlign w:val="center"/>
          </w:tcPr>
          <w:p>
            <w:pPr>
              <w:jc w:val="center"/>
              <w:rPr>
                <w:rFonts w:ascii="黑体" w:hAnsi="黑体" w:eastAsia="黑体"/>
                <w:color w:val="FF0000"/>
              </w:rPr>
            </w:pPr>
            <w:r>
              <w:rPr>
                <w:rFonts w:hint="eastAsia" w:ascii="黑体" w:hAnsi="黑体" w:eastAsia="黑体"/>
              </w:rPr>
              <w:t>竞赛级别</w:t>
            </w:r>
          </w:p>
        </w:tc>
        <w:tc>
          <w:tcPr>
            <w:tcW w:w="749" w:type="pct"/>
            <w:vAlign w:val="center"/>
          </w:tcPr>
          <w:p>
            <w:pPr>
              <w:jc w:val="center"/>
              <w:rPr>
                <w:rFonts w:ascii="黑体" w:hAnsi="黑体" w:eastAsia="黑体"/>
              </w:rPr>
            </w:pPr>
            <w:r>
              <w:rPr>
                <w:rFonts w:hint="eastAsia" w:ascii="黑体" w:hAnsi="黑体" w:eastAsia="黑体"/>
              </w:rPr>
              <w:t>参赛人数</w:t>
            </w:r>
          </w:p>
        </w:tc>
        <w:tc>
          <w:tcPr>
            <w:tcW w:w="686" w:type="pct"/>
            <w:vAlign w:val="center"/>
          </w:tcPr>
          <w:p>
            <w:pPr>
              <w:jc w:val="center"/>
              <w:rPr>
                <w:rFonts w:ascii="黑体" w:hAnsi="黑体" w:eastAsia="黑体"/>
              </w:rPr>
            </w:pPr>
            <w:r>
              <w:rPr>
                <w:rFonts w:hint="eastAsia" w:ascii="黑体" w:hAnsi="黑体" w:eastAsia="黑体" w:cs="宋体"/>
              </w:rPr>
              <w:t>负责人</w:t>
            </w:r>
          </w:p>
        </w:tc>
        <w:tc>
          <w:tcPr>
            <w:tcW w:w="479" w:type="pct"/>
            <w:vAlign w:val="center"/>
          </w:tcPr>
          <w:p>
            <w:pPr>
              <w:jc w:val="center"/>
              <w:rPr>
                <w:rFonts w:ascii="黑体" w:hAnsi="黑体" w:eastAsia="黑体"/>
              </w:rPr>
            </w:pPr>
            <w:r>
              <w:rPr>
                <w:rFonts w:hint="eastAsia" w:ascii="黑体" w:hAnsi="黑体" w:eastAsia="黑体" w:cs="宋体"/>
              </w:rPr>
              <w:t>职称</w:t>
            </w:r>
          </w:p>
        </w:tc>
        <w:tc>
          <w:tcPr>
            <w:tcW w:w="499" w:type="pct"/>
            <w:vAlign w:val="center"/>
          </w:tcPr>
          <w:p>
            <w:pPr>
              <w:jc w:val="center"/>
              <w:rPr>
                <w:rFonts w:ascii="黑体" w:hAnsi="黑体" w:eastAsia="黑体"/>
              </w:rPr>
            </w:pPr>
            <w:r>
              <w:rPr>
                <w:rFonts w:hint="eastAsia" w:ascii="黑体" w:hAnsi="黑体" w:eastAsia="黑体" w:cs="宋体"/>
              </w:rPr>
              <w:t>起止时间</w:t>
            </w:r>
          </w:p>
        </w:tc>
        <w:tc>
          <w:tcPr>
            <w:tcW w:w="692" w:type="pct"/>
            <w:vAlign w:val="center"/>
          </w:tcPr>
          <w:p>
            <w:pPr>
              <w:jc w:val="center"/>
              <w:rPr>
                <w:rFonts w:ascii="黑体" w:hAnsi="黑体" w:eastAsia="黑体"/>
              </w:rPr>
            </w:pPr>
            <w:r>
              <w:rPr>
                <w:rFonts w:hint="eastAsia" w:ascii="黑体" w:hAnsi="黑体" w:eastAsia="黑体" w:cs="宋体"/>
              </w:rPr>
              <w:t>总经费（万元）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396" w:type="pct"/>
            <w:vAlign w:val="center"/>
          </w:tcPr>
          <w:p>
            <w:pPr>
              <w:adjustRightInd w:val="0"/>
              <w:snapToGrid w:val="0"/>
              <w:jc w:val="center"/>
              <w:rPr>
                <w:rFonts w:ascii="楷体" w:hAnsi="楷体" w:eastAsia="楷体"/>
              </w:rPr>
            </w:pPr>
            <w:r>
              <w:rPr>
                <w:rFonts w:hint="eastAsia" w:ascii="楷体" w:hAnsi="楷体" w:eastAsia="楷体"/>
              </w:rPr>
              <w:t>1</w:t>
            </w:r>
          </w:p>
        </w:tc>
        <w:tc>
          <w:tcPr>
            <w:tcW w:w="750" w:type="pct"/>
            <w:vAlign w:val="center"/>
          </w:tcPr>
          <w:p>
            <w:pPr>
              <w:adjustRightInd w:val="0"/>
              <w:snapToGrid w:val="0"/>
              <w:jc w:val="center"/>
              <w:rPr>
                <w:rFonts w:ascii="仿宋" w:hAnsi="仿宋" w:eastAsia="仿宋"/>
                <w:sz w:val="28"/>
                <w:szCs w:val="28"/>
              </w:rPr>
            </w:pPr>
          </w:p>
        </w:tc>
        <w:tc>
          <w:tcPr>
            <w:tcW w:w="749" w:type="pct"/>
          </w:tcPr>
          <w:p>
            <w:pPr>
              <w:adjustRightInd w:val="0"/>
              <w:snapToGrid w:val="0"/>
              <w:jc w:val="center"/>
              <w:rPr>
                <w:rFonts w:ascii="仿宋" w:hAnsi="仿宋" w:eastAsia="仿宋"/>
                <w:color w:val="FF0000"/>
                <w:sz w:val="28"/>
                <w:szCs w:val="28"/>
              </w:rPr>
            </w:pPr>
          </w:p>
        </w:tc>
        <w:tc>
          <w:tcPr>
            <w:tcW w:w="749" w:type="pct"/>
            <w:vAlign w:val="center"/>
          </w:tcPr>
          <w:p>
            <w:pPr>
              <w:adjustRightInd w:val="0"/>
              <w:snapToGrid w:val="0"/>
              <w:jc w:val="center"/>
              <w:rPr>
                <w:rFonts w:ascii="仿宋" w:hAnsi="仿宋" w:eastAsia="仿宋"/>
                <w:sz w:val="28"/>
                <w:szCs w:val="28"/>
              </w:rPr>
            </w:pPr>
          </w:p>
        </w:tc>
        <w:tc>
          <w:tcPr>
            <w:tcW w:w="686" w:type="pct"/>
            <w:vAlign w:val="center"/>
          </w:tcPr>
          <w:p>
            <w:pPr>
              <w:adjustRightInd w:val="0"/>
              <w:snapToGrid w:val="0"/>
              <w:jc w:val="center"/>
              <w:rPr>
                <w:rFonts w:ascii="仿宋" w:hAnsi="仿宋" w:eastAsia="仿宋"/>
                <w:sz w:val="28"/>
                <w:szCs w:val="28"/>
              </w:rPr>
            </w:pPr>
          </w:p>
        </w:tc>
        <w:tc>
          <w:tcPr>
            <w:tcW w:w="479" w:type="pct"/>
            <w:vAlign w:val="center"/>
          </w:tcPr>
          <w:p>
            <w:pPr>
              <w:adjustRightInd w:val="0"/>
              <w:snapToGrid w:val="0"/>
              <w:jc w:val="center"/>
              <w:rPr>
                <w:rFonts w:ascii="仿宋" w:hAnsi="仿宋" w:eastAsia="仿宋"/>
                <w:sz w:val="28"/>
                <w:szCs w:val="28"/>
              </w:rPr>
            </w:pPr>
          </w:p>
        </w:tc>
        <w:tc>
          <w:tcPr>
            <w:tcW w:w="499" w:type="pct"/>
            <w:vAlign w:val="center"/>
          </w:tcPr>
          <w:p>
            <w:pPr>
              <w:adjustRightInd w:val="0"/>
              <w:snapToGrid w:val="0"/>
              <w:jc w:val="center"/>
              <w:rPr>
                <w:rFonts w:ascii="仿宋" w:hAnsi="仿宋" w:eastAsia="仿宋"/>
                <w:sz w:val="28"/>
                <w:szCs w:val="28"/>
              </w:rPr>
            </w:pPr>
          </w:p>
        </w:tc>
        <w:tc>
          <w:tcPr>
            <w:tcW w:w="692" w:type="pct"/>
            <w:vAlign w:val="center"/>
          </w:tcPr>
          <w:p>
            <w:pPr>
              <w:adjustRightInd w:val="0"/>
              <w:snapToGrid w:val="0"/>
              <w:jc w:val="center"/>
              <w:rPr>
                <w:rFonts w:ascii="仿宋" w:hAnsi="仿宋" w:eastAsia="仿宋"/>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396" w:type="pct"/>
            <w:vAlign w:val="center"/>
          </w:tcPr>
          <w:p>
            <w:pPr>
              <w:adjustRightInd w:val="0"/>
              <w:snapToGrid w:val="0"/>
              <w:jc w:val="center"/>
              <w:rPr>
                <w:rFonts w:ascii="楷体" w:hAnsi="楷体" w:eastAsia="楷体"/>
              </w:rPr>
            </w:pPr>
            <w:r>
              <w:rPr>
                <w:rFonts w:hint="eastAsia" w:ascii="楷体" w:hAnsi="楷体" w:eastAsia="楷体"/>
              </w:rPr>
              <w:t>2</w:t>
            </w:r>
          </w:p>
        </w:tc>
        <w:tc>
          <w:tcPr>
            <w:tcW w:w="750" w:type="pct"/>
            <w:vAlign w:val="center"/>
          </w:tcPr>
          <w:p>
            <w:pPr>
              <w:adjustRightInd w:val="0"/>
              <w:snapToGrid w:val="0"/>
              <w:jc w:val="center"/>
              <w:rPr>
                <w:rFonts w:ascii="仿宋" w:hAnsi="仿宋" w:eastAsia="仿宋"/>
                <w:sz w:val="28"/>
                <w:szCs w:val="28"/>
              </w:rPr>
            </w:pPr>
          </w:p>
        </w:tc>
        <w:tc>
          <w:tcPr>
            <w:tcW w:w="749" w:type="pct"/>
          </w:tcPr>
          <w:p>
            <w:pPr>
              <w:adjustRightInd w:val="0"/>
              <w:snapToGrid w:val="0"/>
              <w:jc w:val="center"/>
              <w:rPr>
                <w:rFonts w:ascii="仿宋" w:hAnsi="仿宋" w:eastAsia="仿宋"/>
                <w:color w:val="FF0000"/>
                <w:sz w:val="28"/>
                <w:szCs w:val="28"/>
              </w:rPr>
            </w:pPr>
          </w:p>
        </w:tc>
        <w:tc>
          <w:tcPr>
            <w:tcW w:w="749" w:type="pct"/>
            <w:vAlign w:val="center"/>
          </w:tcPr>
          <w:p>
            <w:pPr>
              <w:adjustRightInd w:val="0"/>
              <w:snapToGrid w:val="0"/>
              <w:jc w:val="center"/>
              <w:rPr>
                <w:rFonts w:ascii="仿宋" w:hAnsi="仿宋" w:eastAsia="仿宋"/>
                <w:sz w:val="28"/>
                <w:szCs w:val="28"/>
              </w:rPr>
            </w:pPr>
          </w:p>
        </w:tc>
        <w:tc>
          <w:tcPr>
            <w:tcW w:w="686" w:type="pct"/>
            <w:vAlign w:val="center"/>
          </w:tcPr>
          <w:p>
            <w:pPr>
              <w:adjustRightInd w:val="0"/>
              <w:snapToGrid w:val="0"/>
              <w:jc w:val="center"/>
              <w:rPr>
                <w:rFonts w:ascii="仿宋" w:hAnsi="仿宋" w:eastAsia="仿宋"/>
                <w:sz w:val="28"/>
                <w:szCs w:val="28"/>
              </w:rPr>
            </w:pPr>
          </w:p>
        </w:tc>
        <w:tc>
          <w:tcPr>
            <w:tcW w:w="479" w:type="pct"/>
            <w:vAlign w:val="center"/>
          </w:tcPr>
          <w:p>
            <w:pPr>
              <w:adjustRightInd w:val="0"/>
              <w:snapToGrid w:val="0"/>
              <w:jc w:val="center"/>
              <w:rPr>
                <w:rFonts w:ascii="仿宋" w:hAnsi="仿宋" w:eastAsia="仿宋"/>
                <w:sz w:val="28"/>
                <w:szCs w:val="28"/>
              </w:rPr>
            </w:pPr>
          </w:p>
        </w:tc>
        <w:tc>
          <w:tcPr>
            <w:tcW w:w="499" w:type="pct"/>
            <w:vAlign w:val="center"/>
          </w:tcPr>
          <w:p>
            <w:pPr>
              <w:adjustRightInd w:val="0"/>
              <w:snapToGrid w:val="0"/>
              <w:jc w:val="center"/>
              <w:rPr>
                <w:rFonts w:ascii="仿宋" w:hAnsi="仿宋" w:eastAsia="仿宋"/>
                <w:sz w:val="28"/>
                <w:szCs w:val="28"/>
              </w:rPr>
            </w:pPr>
          </w:p>
        </w:tc>
        <w:tc>
          <w:tcPr>
            <w:tcW w:w="692" w:type="pct"/>
            <w:vAlign w:val="center"/>
          </w:tcPr>
          <w:p>
            <w:pPr>
              <w:adjustRightInd w:val="0"/>
              <w:snapToGrid w:val="0"/>
              <w:jc w:val="center"/>
              <w:rPr>
                <w:rFonts w:ascii="仿宋" w:hAnsi="仿宋" w:eastAsia="仿宋"/>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396" w:type="pct"/>
            <w:vAlign w:val="center"/>
          </w:tcPr>
          <w:p>
            <w:pPr>
              <w:adjustRightInd w:val="0"/>
              <w:snapToGrid w:val="0"/>
              <w:jc w:val="center"/>
              <w:rPr>
                <w:rFonts w:ascii="楷体" w:hAnsi="楷体" w:eastAsia="楷体"/>
              </w:rPr>
            </w:pPr>
            <w:r>
              <w:rPr>
                <w:rFonts w:hint="eastAsia" w:ascii="楷体" w:hAnsi="楷体" w:eastAsia="楷体" w:cs="仿宋_GB2312"/>
              </w:rPr>
              <w:t>…</w:t>
            </w:r>
          </w:p>
        </w:tc>
        <w:tc>
          <w:tcPr>
            <w:tcW w:w="750" w:type="pct"/>
            <w:vAlign w:val="center"/>
          </w:tcPr>
          <w:p>
            <w:pPr>
              <w:adjustRightInd w:val="0"/>
              <w:snapToGrid w:val="0"/>
              <w:jc w:val="center"/>
              <w:rPr>
                <w:rFonts w:ascii="仿宋" w:hAnsi="仿宋" w:eastAsia="仿宋"/>
                <w:sz w:val="28"/>
                <w:szCs w:val="28"/>
              </w:rPr>
            </w:pPr>
          </w:p>
        </w:tc>
        <w:tc>
          <w:tcPr>
            <w:tcW w:w="749" w:type="pct"/>
          </w:tcPr>
          <w:p>
            <w:pPr>
              <w:adjustRightInd w:val="0"/>
              <w:snapToGrid w:val="0"/>
              <w:jc w:val="center"/>
              <w:rPr>
                <w:rFonts w:ascii="仿宋" w:hAnsi="仿宋" w:eastAsia="仿宋"/>
                <w:color w:val="FF0000"/>
                <w:sz w:val="28"/>
                <w:szCs w:val="28"/>
              </w:rPr>
            </w:pPr>
          </w:p>
        </w:tc>
        <w:tc>
          <w:tcPr>
            <w:tcW w:w="749" w:type="pct"/>
            <w:vAlign w:val="center"/>
          </w:tcPr>
          <w:p>
            <w:pPr>
              <w:adjustRightInd w:val="0"/>
              <w:snapToGrid w:val="0"/>
              <w:jc w:val="center"/>
              <w:rPr>
                <w:rFonts w:ascii="仿宋" w:hAnsi="仿宋" w:eastAsia="仿宋"/>
                <w:sz w:val="28"/>
                <w:szCs w:val="28"/>
              </w:rPr>
            </w:pPr>
          </w:p>
        </w:tc>
        <w:tc>
          <w:tcPr>
            <w:tcW w:w="686" w:type="pct"/>
            <w:vAlign w:val="center"/>
          </w:tcPr>
          <w:p>
            <w:pPr>
              <w:adjustRightInd w:val="0"/>
              <w:snapToGrid w:val="0"/>
              <w:jc w:val="center"/>
              <w:rPr>
                <w:rFonts w:ascii="仿宋" w:hAnsi="仿宋" w:eastAsia="仿宋"/>
                <w:sz w:val="28"/>
                <w:szCs w:val="28"/>
              </w:rPr>
            </w:pPr>
          </w:p>
        </w:tc>
        <w:tc>
          <w:tcPr>
            <w:tcW w:w="479" w:type="pct"/>
            <w:vAlign w:val="center"/>
          </w:tcPr>
          <w:p>
            <w:pPr>
              <w:adjustRightInd w:val="0"/>
              <w:snapToGrid w:val="0"/>
              <w:jc w:val="center"/>
              <w:rPr>
                <w:rFonts w:ascii="仿宋" w:hAnsi="仿宋" w:eastAsia="仿宋"/>
                <w:sz w:val="28"/>
                <w:szCs w:val="28"/>
              </w:rPr>
            </w:pPr>
          </w:p>
        </w:tc>
        <w:tc>
          <w:tcPr>
            <w:tcW w:w="499" w:type="pct"/>
            <w:vAlign w:val="center"/>
          </w:tcPr>
          <w:p>
            <w:pPr>
              <w:adjustRightInd w:val="0"/>
              <w:snapToGrid w:val="0"/>
              <w:jc w:val="center"/>
              <w:rPr>
                <w:rFonts w:ascii="仿宋" w:hAnsi="仿宋" w:eastAsia="仿宋"/>
                <w:sz w:val="28"/>
                <w:szCs w:val="28"/>
              </w:rPr>
            </w:pPr>
          </w:p>
        </w:tc>
        <w:tc>
          <w:tcPr>
            <w:tcW w:w="692" w:type="pct"/>
            <w:vAlign w:val="center"/>
          </w:tcPr>
          <w:p>
            <w:pPr>
              <w:adjustRightInd w:val="0"/>
              <w:snapToGrid w:val="0"/>
              <w:jc w:val="center"/>
              <w:rPr>
                <w:rFonts w:ascii="仿宋" w:hAnsi="仿宋" w:eastAsia="仿宋"/>
                <w:sz w:val="28"/>
                <w:szCs w:val="28"/>
              </w:rPr>
            </w:pPr>
          </w:p>
        </w:tc>
      </w:tr>
    </w:tbl>
    <w:p>
      <w:pPr>
        <w:spacing w:before="163" w:beforeLines="50"/>
        <w:ind w:firstLine="480" w:firstLineChars="200"/>
        <w:rPr>
          <w:rFonts w:ascii="楷体" w:hAnsi="楷体" w:eastAsia="楷体"/>
          <w:bCs/>
        </w:rPr>
      </w:pPr>
      <w:r>
        <w:rPr>
          <w:rFonts w:hint="eastAsia" w:ascii="楷体" w:hAnsi="楷体" w:eastAsia="楷体"/>
          <w:bCs/>
        </w:rPr>
        <w:t>注：竞赛级别</w:t>
      </w:r>
      <w:r>
        <w:rPr>
          <w:rFonts w:hint="eastAsia" w:ascii="楷体" w:hAnsi="楷体" w:eastAsia="楷体"/>
        </w:rPr>
        <w:t>按国家级、省级、校级设立排序。</w:t>
      </w:r>
    </w:p>
    <w:p>
      <w:pPr>
        <w:spacing w:before="163" w:after="163" w:line="360" w:lineRule="auto"/>
        <w:ind w:firstLine="480" w:firstLineChars="200"/>
        <w:rPr>
          <w:rFonts w:ascii="黑体" w:hAnsi="黑体" w:eastAsia="黑体" w:cs="仿宋_GB2312"/>
        </w:rPr>
      </w:pPr>
      <w:r>
        <w:rPr>
          <w:rFonts w:hint="eastAsia" w:ascii="黑体" w:hAnsi="黑体" w:eastAsia="黑体" w:cs="仿宋_GB2312"/>
        </w:rPr>
        <w:t>5.开展科普活动情况</w:t>
      </w:r>
    </w:p>
    <w:tbl>
      <w:tblPr>
        <w:tblStyle w:val="7"/>
        <w:tblW w:w="851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58"/>
        <w:gridCol w:w="1841"/>
        <w:gridCol w:w="1415"/>
        <w:gridCol w:w="430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8" w:type="dxa"/>
          </w:tcPr>
          <w:p>
            <w:pPr>
              <w:adjustRightInd w:val="0"/>
              <w:snapToGrid w:val="0"/>
              <w:spacing w:before="163" w:line="400" w:lineRule="exact"/>
              <w:jc w:val="center"/>
              <w:rPr>
                <w:rFonts w:ascii="黑体" w:hAnsi="黑体" w:eastAsia="黑体" w:cs="宋体"/>
              </w:rPr>
            </w:pPr>
            <w:r>
              <w:rPr>
                <w:rFonts w:hint="eastAsia" w:ascii="黑体" w:hAnsi="黑体" w:eastAsia="黑体" w:cs="宋体"/>
              </w:rPr>
              <w:t>序号</w:t>
            </w:r>
          </w:p>
        </w:tc>
        <w:tc>
          <w:tcPr>
            <w:tcW w:w="1841" w:type="dxa"/>
          </w:tcPr>
          <w:p>
            <w:pPr>
              <w:adjustRightInd w:val="0"/>
              <w:snapToGrid w:val="0"/>
              <w:spacing w:before="163" w:line="400" w:lineRule="exact"/>
              <w:jc w:val="center"/>
              <w:rPr>
                <w:rFonts w:ascii="黑体" w:hAnsi="黑体" w:eastAsia="黑体" w:cs="宋体"/>
              </w:rPr>
            </w:pPr>
            <w:r>
              <w:rPr>
                <w:rFonts w:hint="eastAsia" w:ascii="黑体" w:hAnsi="黑体" w:eastAsia="黑体" w:cs="宋体"/>
              </w:rPr>
              <w:t>活动开展时间</w:t>
            </w:r>
          </w:p>
        </w:tc>
        <w:tc>
          <w:tcPr>
            <w:tcW w:w="1415" w:type="dxa"/>
          </w:tcPr>
          <w:p>
            <w:pPr>
              <w:adjustRightInd w:val="0"/>
              <w:snapToGrid w:val="0"/>
              <w:spacing w:before="163" w:line="400" w:lineRule="exact"/>
              <w:jc w:val="center"/>
              <w:rPr>
                <w:rFonts w:ascii="黑体" w:hAnsi="黑体" w:eastAsia="黑体" w:cs="宋体"/>
              </w:rPr>
            </w:pPr>
            <w:r>
              <w:rPr>
                <w:rFonts w:hint="eastAsia" w:ascii="黑体" w:hAnsi="黑体" w:eastAsia="黑体" w:cs="宋体"/>
              </w:rPr>
              <w:t>参加人数</w:t>
            </w:r>
          </w:p>
        </w:tc>
        <w:tc>
          <w:tcPr>
            <w:tcW w:w="4302" w:type="dxa"/>
          </w:tcPr>
          <w:p>
            <w:pPr>
              <w:adjustRightInd w:val="0"/>
              <w:snapToGrid w:val="0"/>
              <w:spacing w:before="163" w:line="400" w:lineRule="exact"/>
              <w:jc w:val="center"/>
              <w:rPr>
                <w:rFonts w:ascii="黑体" w:hAnsi="黑体" w:eastAsia="黑体" w:cs="宋体"/>
              </w:rPr>
            </w:pPr>
            <w:r>
              <w:rPr>
                <w:rFonts w:hint="eastAsia" w:ascii="黑体" w:hAnsi="黑体" w:eastAsia="黑体" w:cs="宋体"/>
              </w:rPr>
              <w:t>活动报道网址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8" w:type="dxa"/>
            <w:vAlign w:val="center"/>
          </w:tcPr>
          <w:p>
            <w:pPr>
              <w:adjustRightInd w:val="0"/>
              <w:snapToGrid w:val="0"/>
              <w:spacing w:line="400" w:lineRule="exact"/>
              <w:jc w:val="center"/>
              <w:rPr>
                <w:rFonts w:hint="eastAsia" w:ascii="楷体" w:hAnsi="楷体" w:eastAsia="楷体" w:cs="楷体"/>
                <w:lang w:eastAsia="zh-CN"/>
              </w:rPr>
            </w:pPr>
            <w:r>
              <w:rPr>
                <w:rFonts w:hint="eastAsia" w:ascii="楷体" w:hAnsi="楷体" w:eastAsia="楷体" w:cs="楷体"/>
                <w:lang w:val="en-US" w:eastAsia="zh-CN"/>
              </w:rPr>
              <w:t>1</w:t>
            </w:r>
          </w:p>
        </w:tc>
        <w:tc>
          <w:tcPr>
            <w:tcW w:w="1841" w:type="dxa"/>
            <w:vAlign w:val="center"/>
          </w:tcPr>
          <w:p>
            <w:pPr>
              <w:adjustRightInd w:val="0"/>
              <w:snapToGrid w:val="0"/>
              <w:spacing w:line="400" w:lineRule="exact"/>
              <w:jc w:val="center"/>
              <w:rPr>
                <w:rFonts w:hint="eastAsia" w:ascii="楷体" w:hAnsi="楷体" w:eastAsia="楷体" w:cs="楷体"/>
                <w:lang w:eastAsia="zh-CN"/>
              </w:rPr>
            </w:pPr>
            <w:r>
              <w:rPr>
                <w:rFonts w:hint="eastAsia" w:ascii="楷体" w:hAnsi="楷体" w:eastAsia="楷体" w:cs="楷体"/>
              </w:rPr>
              <w:t>1</w:t>
            </w:r>
            <w:r>
              <w:rPr>
                <w:rFonts w:hint="eastAsia" w:ascii="楷体" w:hAnsi="楷体" w:eastAsia="楷体" w:cs="楷体"/>
                <w:lang w:val="en-US" w:eastAsia="zh-CN"/>
              </w:rPr>
              <w:t>2</w:t>
            </w:r>
            <w:r>
              <w:rPr>
                <w:rFonts w:hint="eastAsia" w:ascii="楷体" w:hAnsi="楷体" w:eastAsia="楷体" w:cs="楷体"/>
              </w:rPr>
              <w:t>.</w:t>
            </w:r>
            <w:r>
              <w:rPr>
                <w:rFonts w:hint="eastAsia" w:ascii="楷体" w:hAnsi="楷体" w:eastAsia="楷体" w:cs="楷体"/>
                <w:lang w:val="en-US" w:eastAsia="zh-CN"/>
              </w:rPr>
              <w:t>3</w:t>
            </w:r>
          </w:p>
        </w:tc>
        <w:tc>
          <w:tcPr>
            <w:tcW w:w="1415" w:type="dxa"/>
            <w:vAlign w:val="center"/>
          </w:tcPr>
          <w:p>
            <w:pPr>
              <w:adjustRightInd w:val="0"/>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100</w:t>
            </w:r>
          </w:p>
        </w:tc>
        <w:tc>
          <w:tcPr>
            <w:tcW w:w="4302" w:type="dxa"/>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开展2020年成教学院骨干教师培训</w:t>
            </w:r>
          </w:p>
        </w:tc>
      </w:tr>
    </w:tbl>
    <w:p>
      <w:pPr>
        <w:spacing w:before="163" w:after="163" w:line="360" w:lineRule="auto"/>
        <w:ind w:firstLine="480" w:firstLineChars="200"/>
        <w:rPr>
          <w:rFonts w:ascii="黑体" w:hAnsi="黑体" w:eastAsia="黑体" w:cs="仿宋_GB2312"/>
        </w:rPr>
      </w:pPr>
      <w:r>
        <w:rPr>
          <w:rFonts w:hint="eastAsia" w:ascii="黑体" w:hAnsi="黑体" w:eastAsia="黑体" w:cs="仿宋_GB2312"/>
        </w:rPr>
        <w:t>6.承办培训情况</w:t>
      </w:r>
    </w:p>
    <w:tbl>
      <w:tblPr>
        <w:tblStyle w:val="6"/>
        <w:tblW w:w="864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0"/>
        <w:gridCol w:w="1800"/>
        <w:gridCol w:w="1440"/>
        <w:gridCol w:w="1080"/>
        <w:gridCol w:w="1058"/>
        <w:gridCol w:w="1462"/>
        <w:gridCol w:w="10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2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序号</w:t>
            </w:r>
          </w:p>
        </w:tc>
        <w:tc>
          <w:tcPr>
            <w:tcW w:w="180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培训项目名称</w:t>
            </w:r>
          </w:p>
        </w:tc>
        <w:tc>
          <w:tcPr>
            <w:tcW w:w="1440" w:type="dxa"/>
            <w:vAlign w:val="center"/>
          </w:tcPr>
          <w:p>
            <w:pPr>
              <w:adjustRightInd w:val="0"/>
              <w:snapToGrid w:val="0"/>
              <w:spacing w:line="400" w:lineRule="exact"/>
              <w:jc w:val="center"/>
              <w:rPr>
                <w:rFonts w:ascii="黑体" w:hAnsi="黑体" w:eastAsia="黑体"/>
              </w:rPr>
            </w:pPr>
            <w:r>
              <w:rPr>
                <w:rFonts w:hint="eastAsia" w:ascii="黑体" w:hAnsi="黑体" w:eastAsia="黑体"/>
              </w:rPr>
              <w:t>培训人数</w:t>
            </w:r>
          </w:p>
        </w:tc>
        <w:tc>
          <w:tcPr>
            <w:tcW w:w="108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负责人</w:t>
            </w:r>
          </w:p>
        </w:tc>
        <w:tc>
          <w:tcPr>
            <w:tcW w:w="1058"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职称</w:t>
            </w:r>
          </w:p>
        </w:tc>
        <w:tc>
          <w:tcPr>
            <w:tcW w:w="1462"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起止时间</w:t>
            </w:r>
          </w:p>
        </w:tc>
        <w:tc>
          <w:tcPr>
            <w:tcW w:w="1080" w:type="dxa"/>
            <w:vAlign w:val="center"/>
          </w:tcPr>
          <w:p>
            <w:pPr>
              <w:adjustRightInd w:val="0"/>
              <w:snapToGrid w:val="0"/>
              <w:spacing w:line="400" w:lineRule="exact"/>
              <w:jc w:val="center"/>
              <w:rPr>
                <w:rFonts w:ascii="黑体" w:hAnsi="黑体" w:eastAsia="黑体"/>
              </w:rPr>
            </w:pPr>
            <w:r>
              <w:rPr>
                <w:rFonts w:hint="eastAsia" w:ascii="黑体" w:hAnsi="黑体" w:eastAsia="黑体" w:cs="宋体"/>
              </w:rPr>
              <w:t>总经费（万元）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20" w:type="dxa"/>
            <w:vAlign w:val="center"/>
          </w:tcPr>
          <w:p>
            <w:pPr>
              <w:adjustRightInd w:val="0"/>
              <w:snapToGrid w:val="0"/>
              <w:spacing w:line="400" w:lineRule="exact"/>
              <w:jc w:val="center"/>
              <w:rPr>
                <w:rFonts w:ascii="楷体" w:hAnsi="楷体" w:eastAsia="楷体" w:cs="楷体"/>
              </w:rPr>
            </w:pPr>
            <w:r>
              <w:rPr>
                <w:rFonts w:hint="eastAsia" w:ascii="楷体" w:hAnsi="楷体" w:eastAsia="楷体" w:cs="楷体"/>
              </w:rPr>
              <w:t>1</w:t>
            </w:r>
          </w:p>
        </w:tc>
        <w:tc>
          <w:tcPr>
            <w:tcW w:w="1800" w:type="dxa"/>
            <w:vAlign w:val="center"/>
          </w:tcPr>
          <w:p>
            <w:pPr>
              <w:adjustRightInd w:val="0"/>
              <w:snapToGrid w:val="0"/>
              <w:spacing w:line="400" w:lineRule="exact"/>
              <w:jc w:val="center"/>
              <w:rPr>
                <w:rFonts w:ascii="楷体" w:hAnsi="楷体" w:eastAsia="楷体" w:cs="楷体"/>
                <w:color w:val="000000"/>
              </w:rPr>
            </w:pPr>
            <w:r>
              <w:rPr>
                <w:rFonts w:hint="eastAsia" w:ascii="楷体" w:hAnsi="楷体" w:eastAsia="楷体" w:cs="楷体"/>
                <w:color w:val="000000"/>
              </w:rPr>
              <w:t>昆明医科大学第</w:t>
            </w:r>
            <w:r>
              <w:rPr>
                <w:rFonts w:hint="eastAsia" w:ascii="楷体" w:hAnsi="楷体" w:eastAsia="楷体" w:cs="楷体"/>
                <w:color w:val="000000"/>
                <w:lang w:eastAsia="zh-CN"/>
              </w:rPr>
              <w:t>五</w:t>
            </w:r>
            <w:r>
              <w:rPr>
                <w:rFonts w:hint="eastAsia" w:ascii="楷体" w:hAnsi="楷体" w:eastAsia="楷体" w:cs="楷体"/>
                <w:color w:val="000000"/>
              </w:rPr>
              <w:t>期龙陵健康扶贫暨龙陵县乡村医务人员提升工程</w:t>
            </w:r>
          </w:p>
          <w:p>
            <w:pPr>
              <w:adjustRightInd w:val="0"/>
              <w:snapToGrid w:val="0"/>
              <w:spacing w:line="400" w:lineRule="exact"/>
              <w:jc w:val="center"/>
              <w:rPr>
                <w:rFonts w:ascii="楷体" w:hAnsi="楷体" w:eastAsia="楷体" w:cs="楷体"/>
              </w:rPr>
            </w:pPr>
            <w:r>
              <w:rPr>
                <w:rFonts w:hint="eastAsia" w:ascii="楷体" w:hAnsi="楷体" w:eastAsia="楷体" w:cs="楷体"/>
                <w:color w:val="000000"/>
              </w:rPr>
              <w:t>培训班</w:t>
            </w:r>
          </w:p>
        </w:tc>
        <w:tc>
          <w:tcPr>
            <w:tcW w:w="1440" w:type="dxa"/>
            <w:vAlign w:val="center"/>
          </w:tcPr>
          <w:p>
            <w:pPr>
              <w:adjustRightInd w:val="0"/>
              <w:snapToGrid w:val="0"/>
              <w:spacing w:line="400" w:lineRule="exact"/>
              <w:jc w:val="center"/>
              <w:rPr>
                <w:rFonts w:hint="default" w:ascii="楷体" w:hAnsi="楷体" w:eastAsia="楷体" w:cs="楷体"/>
                <w:lang w:val="en-US" w:eastAsia="zh-CN"/>
              </w:rPr>
            </w:pPr>
            <w:r>
              <w:rPr>
                <w:rFonts w:hint="eastAsia" w:ascii="楷体" w:hAnsi="楷体" w:eastAsia="楷体" w:cs="楷体"/>
                <w:lang w:val="en-US" w:eastAsia="zh-CN"/>
              </w:rPr>
              <w:t>150</w:t>
            </w:r>
          </w:p>
        </w:tc>
        <w:tc>
          <w:tcPr>
            <w:tcW w:w="1080" w:type="dxa"/>
            <w:vAlign w:val="center"/>
          </w:tcPr>
          <w:p>
            <w:pPr>
              <w:adjustRightInd w:val="0"/>
              <w:snapToGrid w:val="0"/>
              <w:spacing w:line="400" w:lineRule="exact"/>
              <w:jc w:val="center"/>
              <w:rPr>
                <w:rFonts w:ascii="楷体" w:hAnsi="楷体" w:eastAsia="楷体" w:cs="楷体"/>
                <w:color w:val="000000"/>
              </w:rPr>
            </w:pPr>
            <w:r>
              <w:rPr>
                <w:rFonts w:hint="eastAsia" w:ascii="楷体" w:hAnsi="楷体" w:eastAsia="楷体" w:cs="楷体"/>
                <w:color w:val="000000"/>
              </w:rPr>
              <w:t>杨玉萍</w:t>
            </w:r>
          </w:p>
        </w:tc>
        <w:tc>
          <w:tcPr>
            <w:tcW w:w="1058" w:type="dxa"/>
            <w:vAlign w:val="center"/>
          </w:tcPr>
          <w:p>
            <w:pPr>
              <w:adjustRightInd w:val="0"/>
              <w:snapToGrid w:val="0"/>
              <w:spacing w:line="400" w:lineRule="exact"/>
              <w:jc w:val="center"/>
              <w:rPr>
                <w:rFonts w:ascii="楷体" w:hAnsi="楷体" w:eastAsia="楷体" w:cs="楷体"/>
                <w:color w:val="000000"/>
              </w:rPr>
            </w:pPr>
            <w:r>
              <w:rPr>
                <w:rFonts w:hint="eastAsia" w:ascii="楷体" w:hAnsi="楷体" w:eastAsia="楷体" w:cs="楷体"/>
                <w:color w:val="000000"/>
              </w:rPr>
              <w:t>教授</w:t>
            </w:r>
          </w:p>
        </w:tc>
        <w:tc>
          <w:tcPr>
            <w:tcW w:w="1462" w:type="dxa"/>
            <w:vAlign w:val="center"/>
          </w:tcPr>
          <w:p>
            <w:pPr>
              <w:adjustRightInd w:val="0"/>
              <w:snapToGrid w:val="0"/>
              <w:spacing w:line="400" w:lineRule="exact"/>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6.13</w:t>
            </w:r>
            <w:r>
              <w:rPr>
                <w:rFonts w:hint="eastAsia" w:ascii="楷体" w:hAnsi="楷体" w:eastAsia="楷体" w:cs="楷体"/>
                <w:color w:val="000000"/>
              </w:rPr>
              <w:t>-</w:t>
            </w:r>
            <w:r>
              <w:rPr>
                <w:rFonts w:hint="eastAsia" w:ascii="楷体" w:hAnsi="楷体" w:eastAsia="楷体" w:cs="楷体"/>
                <w:color w:val="000000"/>
                <w:lang w:val="en-US" w:eastAsia="zh-CN"/>
              </w:rPr>
              <w:t>6.28</w:t>
            </w:r>
          </w:p>
        </w:tc>
        <w:tc>
          <w:tcPr>
            <w:tcW w:w="1080" w:type="dxa"/>
            <w:vAlign w:val="center"/>
          </w:tcPr>
          <w:p>
            <w:pPr>
              <w:adjustRightInd w:val="0"/>
              <w:snapToGrid w:val="0"/>
              <w:spacing w:line="400" w:lineRule="exact"/>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36</w:t>
            </w:r>
          </w:p>
        </w:tc>
      </w:tr>
    </w:tbl>
    <w:p>
      <w:pPr>
        <w:spacing w:line="360" w:lineRule="auto"/>
        <w:ind w:firstLine="480" w:firstLineChars="200"/>
        <w:rPr>
          <w:rFonts w:ascii="楷体" w:hAnsi="楷体" w:eastAsia="楷体" w:cs="仿宋_GB2312"/>
        </w:rPr>
      </w:pPr>
    </w:p>
    <w:p>
      <w:pPr>
        <w:spacing w:line="360" w:lineRule="auto"/>
        <w:ind w:firstLine="480" w:firstLineChars="200"/>
        <w:rPr>
          <w:rFonts w:ascii="楷体" w:hAnsi="楷体" w:eastAsia="楷体" w:cs="仿宋_GB2312"/>
        </w:rPr>
      </w:pPr>
      <w:r>
        <w:rPr>
          <w:rFonts w:hint="eastAsia" w:ascii="楷体" w:hAnsi="楷体" w:eastAsia="楷体" w:cs="仿宋_GB2312"/>
        </w:rPr>
        <w:t>注：培训项目以正式文件为准，培训人数以签到表为准。</w:t>
      </w:r>
    </w:p>
    <w:p>
      <w:pPr>
        <w:spacing w:before="163" w:beforeLines="50"/>
        <w:ind w:firstLine="560" w:firstLineChars="200"/>
        <w:rPr>
          <w:rFonts w:ascii="黑体" w:hAnsi="黑体" w:eastAsia="黑体"/>
          <w:sz w:val="28"/>
          <w:szCs w:val="28"/>
        </w:rPr>
      </w:pPr>
      <w:r>
        <w:rPr>
          <w:rFonts w:hint="eastAsia" w:ascii="黑体" w:hAnsi="黑体" w:eastAsia="黑体"/>
          <w:sz w:val="28"/>
          <w:szCs w:val="28"/>
        </w:rPr>
        <w:t>（三）安全工作情况</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28"/>
        <w:gridCol w:w="2129"/>
        <w:gridCol w:w="42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4261" w:type="dxa"/>
            <w:gridSpan w:val="2"/>
            <w:vAlign w:val="center"/>
          </w:tcPr>
          <w:p>
            <w:pPr>
              <w:adjustRightInd w:val="0"/>
              <w:snapToGrid w:val="0"/>
              <w:jc w:val="center"/>
              <w:rPr>
                <w:rFonts w:ascii="黑体" w:hAnsi="黑体" w:eastAsia="黑体" w:cs="Times New Roman"/>
                <w:bCs/>
              </w:rPr>
            </w:pPr>
            <w:r>
              <w:rPr>
                <w:rFonts w:hint="eastAsia" w:ascii="黑体" w:hAnsi="黑体" w:eastAsia="黑体" w:cs="Times New Roman"/>
                <w:bCs/>
              </w:rPr>
              <w:t>安全教育培训情况</w:t>
            </w:r>
          </w:p>
        </w:tc>
        <w:tc>
          <w:tcPr>
            <w:tcW w:w="4261" w:type="dxa"/>
            <w:vAlign w:val="center"/>
          </w:tcPr>
          <w:p>
            <w:pPr>
              <w:adjustRightInd w:val="0"/>
              <w:snapToGrid w:val="0"/>
              <w:jc w:val="center"/>
              <w:rPr>
                <w:rFonts w:ascii="楷体" w:hAnsi="楷体" w:eastAsia="楷体" w:cs="Times New Roman"/>
                <w:bCs/>
              </w:rPr>
            </w:pPr>
            <w:r>
              <w:rPr>
                <w:rFonts w:hint="eastAsia" w:ascii="楷体" w:hAnsi="楷体" w:eastAsia="楷体" w:cs="Times New Roman"/>
                <w:bCs/>
                <w:lang w:val="en-US" w:eastAsia="zh-CN"/>
              </w:rPr>
              <w:t>1432</w:t>
            </w:r>
            <w:r>
              <w:rPr>
                <w:rFonts w:hint="eastAsia" w:ascii="楷体" w:hAnsi="楷体" w:eastAsia="楷体" w:cs="Times New Roman"/>
                <w:bCs/>
              </w:rPr>
              <w:t>人次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8522" w:type="dxa"/>
            <w:gridSpan w:val="3"/>
            <w:vAlign w:val="center"/>
          </w:tcPr>
          <w:p>
            <w:pPr>
              <w:adjustRightInd w:val="0"/>
              <w:snapToGrid w:val="0"/>
              <w:jc w:val="center"/>
              <w:rPr>
                <w:rFonts w:ascii="黑体" w:hAnsi="黑体" w:eastAsia="黑体" w:cs="Times New Roman"/>
                <w:bCs/>
              </w:rPr>
            </w:pPr>
            <w:r>
              <w:rPr>
                <w:rFonts w:hint="eastAsia" w:ascii="黑体" w:hAnsi="黑体" w:eastAsia="黑体" w:cs="Times New Roman"/>
                <w:bCs/>
              </w:rPr>
              <w:t>是否发生安全责任事故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4260" w:type="dxa"/>
            <w:gridSpan w:val="2"/>
            <w:vAlign w:val="center"/>
          </w:tcPr>
          <w:p>
            <w:pPr>
              <w:adjustRightInd w:val="0"/>
              <w:snapToGrid w:val="0"/>
              <w:jc w:val="center"/>
              <w:rPr>
                <w:rFonts w:ascii="黑体" w:hAnsi="黑体" w:eastAsia="黑体" w:cs="Times New Roman"/>
                <w:bCs/>
              </w:rPr>
            </w:pPr>
            <w:r>
              <w:rPr>
                <w:rFonts w:hint="eastAsia" w:ascii="黑体" w:hAnsi="黑体" w:eastAsia="黑体" w:cs="Times New Roman"/>
                <w:bCs/>
              </w:rPr>
              <w:t>伤亡人数（人）</w:t>
            </w:r>
          </w:p>
        </w:tc>
        <w:tc>
          <w:tcPr>
            <w:tcW w:w="4262" w:type="dxa"/>
            <w:vMerge w:val="restart"/>
            <w:vAlign w:val="center"/>
          </w:tcPr>
          <w:p>
            <w:pPr>
              <w:adjustRightInd w:val="0"/>
              <w:snapToGrid w:val="0"/>
              <w:jc w:val="center"/>
              <w:rPr>
                <w:rFonts w:ascii="黑体" w:hAnsi="黑体" w:eastAsia="黑体" w:cs="Times New Roman"/>
                <w:bCs/>
              </w:rPr>
            </w:pPr>
            <w:r>
              <w:rPr>
                <w:rFonts w:hint="eastAsia" w:ascii="黑体" w:hAnsi="黑体" w:eastAsia="黑体" w:cs="Times New Roman"/>
                <w:bCs/>
              </w:rPr>
              <w:t>未发生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2130" w:type="dxa"/>
            <w:vAlign w:val="center"/>
          </w:tcPr>
          <w:p>
            <w:pPr>
              <w:adjustRightInd w:val="0"/>
              <w:snapToGrid w:val="0"/>
              <w:jc w:val="center"/>
              <w:rPr>
                <w:rFonts w:ascii="黑体" w:hAnsi="黑体" w:eastAsia="黑体" w:cs="Times New Roman"/>
                <w:bCs/>
              </w:rPr>
            </w:pPr>
            <w:r>
              <w:rPr>
                <w:rFonts w:hint="eastAsia" w:ascii="黑体" w:hAnsi="黑体" w:eastAsia="黑体" w:cs="Times New Roman"/>
                <w:bCs/>
              </w:rPr>
              <w:t>伤</w:t>
            </w:r>
          </w:p>
        </w:tc>
        <w:tc>
          <w:tcPr>
            <w:tcW w:w="2130" w:type="dxa"/>
            <w:vAlign w:val="center"/>
          </w:tcPr>
          <w:p>
            <w:pPr>
              <w:adjustRightInd w:val="0"/>
              <w:snapToGrid w:val="0"/>
              <w:jc w:val="center"/>
              <w:rPr>
                <w:rFonts w:ascii="黑体" w:hAnsi="黑体" w:eastAsia="黑体" w:cs="Times New Roman"/>
                <w:bCs/>
              </w:rPr>
            </w:pPr>
            <w:r>
              <w:rPr>
                <w:rFonts w:hint="eastAsia" w:ascii="黑体" w:hAnsi="黑体" w:eastAsia="黑体" w:cs="Times New Roman"/>
                <w:bCs/>
              </w:rPr>
              <w:t>亡</w:t>
            </w:r>
          </w:p>
        </w:tc>
        <w:tc>
          <w:tcPr>
            <w:tcW w:w="4262" w:type="dxa"/>
            <w:vMerge w:val="continue"/>
            <w:vAlign w:val="center"/>
          </w:tcPr>
          <w:p>
            <w:pPr>
              <w:adjustRightInd w:val="0"/>
              <w:snapToGrid w:val="0"/>
              <w:jc w:val="center"/>
              <w:rPr>
                <w:rFonts w:ascii="仿宋" w:hAnsi="仿宋" w:eastAsia="仿宋" w:cs="Times New Roman"/>
                <w:bCs/>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2130" w:type="dxa"/>
            <w:vAlign w:val="center"/>
          </w:tcPr>
          <w:p>
            <w:pPr>
              <w:adjustRightInd w:val="0"/>
              <w:snapToGrid w:val="0"/>
              <w:jc w:val="center"/>
              <w:rPr>
                <w:rFonts w:ascii="仿宋" w:hAnsi="仿宋" w:eastAsia="仿宋" w:cs="Times New Roman"/>
                <w:bCs/>
                <w:sz w:val="28"/>
                <w:szCs w:val="28"/>
              </w:rPr>
            </w:pPr>
            <w:r>
              <w:rPr>
                <w:rFonts w:hint="eastAsia" w:ascii="仿宋" w:hAnsi="仿宋" w:eastAsia="仿宋" w:cs="Times New Roman"/>
                <w:bCs/>
                <w:sz w:val="28"/>
                <w:szCs w:val="28"/>
              </w:rPr>
              <w:t>0</w:t>
            </w:r>
          </w:p>
        </w:tc>
        <w:tc>
          <w:tcPr>
            <w:tcW w:w="2130" w:type="dxa"/>
            <w:vAlign w:val="center"/>
          </w:tcPr>
          <w:p>
            <w:pPr>
              <w:adjustRightInd w:val="0"/>
              <w:snapToGrid w:val="0"/>
              <w:jc w:val="center"/>
              <w:rPr>
                <w:rFonts w:ascii="仿宋" w:hAnsi="仿宋" w:eastAsia="仿宋" w:cs="Times New Roman"/>
                <w:bCs/>
                <w:sz w:val="28"/>
                <w:szCs w:val="28"/>
              </w:rPr>
            </w:pPr>
            <w:r>
              <w:rPr>
                <w:rFonts w:hint="eastAsia" w:ascii="仿宋" w:hAnsi="仿宋" w:eastAsia="仿宋" w:cs="Times New Roman"/>
                <w:bCs/>
                <w:sz w:val="28"/>
                <w:szCs w:val="28"/>
              </w:rPr>
              <w:t>0</w:t>
            </w:r>
          </w:p>
        </w:tc>
        <w:tc>
          <w:tcPr>
            <w:tcW w:w="4262" w:type="dxa"/>
            <w:vAlign w:val="center"/>
          </w:tcPr>
          <w:p>
            <w:pPr>
              <w:adjustRightInd w:val="0"/>
              <w:snapToGrid w:val="0"/>
              <w:jc w:val="center"/>
              <w:rPr>
                <w:rFonts w:ascii="仿宋" w:hAnsi="仿宋" w:eastAsia="仿宋" w:cs="Times New Roman"/>
                <w:bCs/>
                <w:sz w:val="28"/>
                <w:szCs w:val="28"/>
              </w:rPr>
            </w:pPr>
            <w:r>
              <w:rPr>
                <w:rFonts w:hint="eastAsia" w:ascii="仿宋" w:hAnsi="仿宋" w:eastAsia="仿宋" w:cs="Times New Roman"/>
                <w:bCs/>
                <w:sz w:val="28"/>
                <w:szCs w:val="28"/>
              </w:rPr>
              <w:t>未发生</w:t>
            </w:r>
          </w:p>
        </w:tc>
      </w:tr>
    </w:tbl>
    <w:p>
      <w:pPr>
        <w:adjustRightInd w:val="0"/>
        <w:snapToGrid w:val="0"/>
        <w:ind w:firstLine="480" w:firstLineChars="200"/>
        <w:rPr>
          <w:rFonts w:ascii="黑体" w:hAnsi="黑体" w:eastAsia="黑体" w:cs="Times New Roman"/>
          <w:b/>
          <w:bCs/>
          <w:sz w:val="32"/>
          <w:szCs w:val="32"/>
        </w:rPr>
      </w:pPr>
      <w:r>
        <w:rPr>
          <w:rFonts w:hint="eastAsia" w:ascii="楷体" w:hAnsi="楷体" w:eastAsia="楷体" w:cs="Times New Roman"/>
          <w:bCs/>
        </w:rPr>
        <w:t>注：安全责任事故以所在高校发布的安全责任事故通报文件为准。如未发生安全责任事故，请在其下方表格打钩。如发生安全责任事故，请说明伤亡人数。</w:t>
      </w: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ind w:firstLine="643" w:firstLineChars="200"/>
        <w:rPr>
          <w:rFonts w:ascii="黑体" w:hAnsi="黑体" w:eastAsia="黑体" w:cs="Times New Roman"/>
          <w:b/>
          <w:bCs/>
          <w:sz w:val="32"/>
          <w:szCs w:val="32"/>
        </w:rPr>
      </w:pPr>
    </w:p>
    <w:p>
      <w:pPr>
        <w:adjustRightInd w:val="0"/>
        <w:snapToGrid w:val="0"/>
        <w:spacing w:before="163" w:beforeLines="50"/>
        <w:rPr>
          <w:rFonts w:ascii="黑体" w:hAnsi="黑体" w:eastAsia="黑体" w:cs="Times New Roman"/>
          <w:b/>
          <w:bCs/>
          <w:sz w:val="32"/>
          <w:szCs w:val="32"/>
        </w:rPr>
      </w:pPr>
    </w:p>
    <w:p>
      <w:pPr>
        <w:adjustRightInd w:val="0"/>
        <w:snapToGrid w:val="0"/>
        <w:spacing w:before="163" w:beforeLines="50"/>
        <w:rPr>
          <w:rFonts w:ascii="黑体" w:hAnsi="黑体" w:eastAsia="黑体" w:cs="Times New Roman"/>
          <w:b/>
          <w:bCs/>
          <w:sz w:val="32"/>
          <w:szCs w:val="32"/>
        </w:rPr>
      </w:pPr>
    </w:p>
    <w:p>
      <w:pPr>
        <w:adjustRightInd w:val="0"/>
        <w:snapToGrid w:val="0"/>
        <w:spacing w:before="163" w:beforeLines="50"/>
        <w:rPr>
          <w:rFonts w:ascii="黑体" w:hAnsi="黑体" w:eastAsia="黑体" w:cs="Times New Roman"/>
          <w:b/>
          <w:bCs/>
          <w:sz w:val="32"/>
          <w:szCs w:val="32"/>
        </w:rPr>
      </w:pPr>
    </w:p>
    <w:p>
      <w:pPr>
        <w:adjustRightInd w:val="0"/>
        <w:snapToGrid w:val="0"/>
        <w:spacing w:before="163" w:beforeLines="50"/>
        <w:rPr>
          <w:rFonts w:ascii="黑体" w:hAnsi="黑体" w:eastAsia="黑体" w:cs="Times New Roman"/>
          <w:b/>
          <w:bCs/>
          <w:sz w:val="32"/>
          <w:szCs w:val="32"/>
        </w:rPr>
      </w:pPr>
    </w:p>
    <w:p>
      <w:pPr>
        <w:spacing w:before="163" w:line="360" w:lineRule="auto"/>
        <w:rPr>
          <w:rFonts w:hint="eastAsia" w:ascii="仿宋" w:hAnsi="仿宋" w:eastAsia="仿宋" w:cs="Times New Roman"/>
          <w:color w:val="4B4B4B"/>
          <w:kern w:val="0"/>
          <w:sz w:val="32"/>
          <w:szCs w:val="32"/>
          <w:lang w:eastAsia="zh-CN"/>
        </w:rPr>
      </w:pPr>
      <w:r>
        <w:rPr>
          <w:rFonts w:hint="eastAsia" w:ascii="仿宋" w:hAnsi="仿宋" w:eastAsia="仿宋" w:cs="Times New Roman"/>
          <w:color w:val="4B4B4B"/>
          <w:kern w:val="0"/>
          <w:sz w:val="32"/>
          <w:szCs w:val="32"/>
          <w:lang w:eastAsia="zh-CN"/>
        </w:rPr>
        <w:drawing>
          <wp:inline distT="0" distB="0" distL="114300" distR="114300">
            <wp:extent cx="5514340" cy="8455660"/>
            <wp:effectExtent l="0" t="0" r="10160" b="2540"/>
            <wp:docPr id="12" name="图片 12" descr="f5722f02c4dd8a4afd82ed8920c83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5722f02c4dd8a4afd82ed8920c83ed"/>
                    <pic:cNvPicPr>
                      <a:picLocks noChangeAspect="1"/>
                    </pic:cNvPicPr>
                  </pic:nvPicPr>
                  <pic:blipFill>
                    <a:blip r:embed="rId16"/>
                    <a:stretch>
                      <a:fillRect/>
                    </a:stretch>
                  </pic:blipFill>
                  <pic:spPr>
                    <a:xfrm>
                      <a:off x="0" y="0"/>
                      <a:ext cx="5514340" cy="8455660"/>
                    </a:xfrm>
                    <a:prstGeom prst="rect">
                      <a:avLst/>
                    </a:prstGeom>
                  </pic:spPr>
                </pic:pic>
              </a:graphicData>
            </a:graphic>
          </wp:inline>
        </w:drawing>
      </w:r>
    </w:p>
    <w:sectPr>
      <w:footerReference r:id="rId3" w:type="default"/>
      <w:pgSz w:w="11900" w:h="16840"/>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FangSong_GB2312-Identity-H">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409577"/>
    </w:sdtPr>
    <w:sdtContent>
      <w:p>
        <w:pPr>
          <w:pStyle w:val="3"/>
          <w:jc w:val="center"/>
        </w:pPr>
        <w:r>
          <w:fldChar w:fldCharType="begin"/>
        </w:r>
        <w:r>
          <w:instrText xml:space="preserve">PAGE   \* MERGEFORMAT</w:instrText>
        </w:r>
        <w:r>
          <w:fldChar w:fldCharType="separate"/>
        </w:r>
        <w:r>
          <w:rPr>
            <w:lang w:val="zh-CN"/>
          </w:rPr>
          <w:t>9</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F2F8BA"/>
    <w:multiLevelType w:val="singleLevel"/>
    <w:tmpl w:val="FEF2F8BA"/>
    <w:lvl w:ilvl="0" w:tentative="0">
      <w:start w:val="2"/>
      <w:numFmt w:val="chineseCounting"/>
      <w:suff w:val="nothing"/>
      <w:lvlText w:val="（%1）"/>
      <w:lvlJc w:val="left"/>
      <w:rPr>
        <w:rFonts w:hint="eastAsia"/>
      </w:rPr>
    </w:lvl>
  </w:abstractNum>
  <w:abstractNum w:abstractNumId="1">
    <w:nsid w:val="0CA9394D"/>
    <w:multiLevelType w:val="singleLevel"/>
    <w:tmpl w:val="0CA9394D"/>
    <w:lvl w:ilvl="0" w:tentative="0">
      <w:start w:val="2"/>
      <w:numFmt w:val="chineseCounting"/>
      <w:suff w:val="nothing"/>
      <w:lvlText w:val="（%1）"/>
      <w:lvlJc w:val="left"/>
      <w:rPr>
        <w:rFonts w:hint="eastAsia"/>
      </w:rPr>
    </w:lvl>
  </w:abstractNum>
  <w:abstractNum w:abstractNumId="2">
    <w:nsid w:val="11C7F95C"/>
    <w:multiLevelType w:val="singleLevel"/>
    <w:tmpl w:val="11C7F95C"/>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31006"/>
    <w:rsid w:val="000725DB"/>
    <w:rsid w:val="00117856"/>
    <w:rsid w:val="001522DA"/>
    <w:rsid w:val="00153C5C"/>
    <w:rsid w:val="001A7536"/>
    <w:rsid w:val="001E1DCA"/>
    <w:rsid w:val="001F50D6"/>
    <w:rsid w:val="00246D1F"/>
    <w:rsid w:val="00260E32"/>
    <w:rsid w:val="00263513"/>
    <w:rsid w:val="00274DA3"/>
    <w:rsid w:val="00277A91"/>
    <w:rsid w:val="002C669C"/>
    <w:rsid w:val="002F56DB"/>
    <w:rsid w:val="003514F0"/>
    <w:rsid w:val="003A4001"/>
    <w:rsid w:val="0042301E"/>
    <w:rsid w:val="004604EC"/>
    <w:rsid w:val="004C1F5E"/>
    <w:rsid w:val="004F27AD"/>
    <w:rsid w:val="00500DA4"/>
    <w:rsid w:val="00504DC8"/>
    <w:rsid w:val="005513FC"/>
    <w:rsid w:val="00571B4B"/>
    <w:rsid w:val="006167A0"/>
    <w:rsid w:val="006737E2"/>
    <w:rsid w:val="00682C85"/>
    <w:rsid w:val="00696B85"/>
    <w:rsid w:val="006D4FA6"/>
    <w:rsid w:val="006F597C"/>
    <w:rsid w:val="00731006"/>
    <w:rsid w:val="007556CC"/>
    <w:rsid w:val="007A130E"/>
    <w:rsid w:val="007A7F01"/>
    <w:rsid w:val="007B1657"/>
    <w:rsid w:val="008112D4"/>
    <w:rsid w:val="0085403E"/>
    <w:rsid w:val="008858E7"/>
    <w:rsid w:val="00923471"/>
    <w:rsid w:val="00977BCB"/>
    <w:rsid w:val="009E27AB"/>
    <w:rsid w:val="009F2C4D"/>
    <w:rsid w:val="00AA7370"/>
    <w:rsid w:val="00AB2B69"/>
    <w:rsid w:val="00AC36AA"/>
    <w:rsid w:val="00B23129"/>
    <w:rsid w:val="00B44470"/>
    <w:rsid w:val="00BA216D"/>
    <w:rsid w:val="00BC61F0"/>
    <w:rsid w:val="00BD5723"/>
    <w:rsid w:val="00C05B36"/>
    <w:rsid w:val="00C92499"/>
    <w:rsid w:val="00CD2AFA"/>
    <w:rsid w:val="00D104A7"/>
    <w:rsid w:val="00D415CE"/>
    <w:rsid w:val="00D533A9"/>
    <w:rsid w:val="00D533D2"/>
    <w:rsid w:val="00D86262"/>
    <w:rsid w:val="00DC5F2B"/>
    <w:rsid w:val="00DD27BF"/>
    <w:rsid w:val="00DD3CDA"/>
    <w:rsid w:val="00DE592A"/>
    <w:rsid w:val="00E16FE1"/>
    <w:rsid w:val="00E26B1D"/>
    <w:rsid w:val="00E47717"/>
    <w:rsid w:val="00EE0B70"/>
    <w:rsid w:val="00EE0DF4"/>
    <w:rsid w:val="00FB3D68"/>
    <w:rsid w:val="02520451"/>
    <w:rsid w:val="02BE468A"/>
    <w:rsid w:val="037811F5"/>
    <w:rsid w:val="03CB741C"/>
    <w:rsid w:val="04607948"/>
    <w:rsid w:val="063A255E"/>
    <w:rsid w:val="07F748CA"/>
    <w:rsid w:val="09ED6273"/>
    <w:rsid w:val="0B8531BC"/>
    <w:rsid w:val="0BC03C3A"/>
    <w:rsid w:val="0BF60114"/>
    <w:rsid w:val="0C4530AF"/>
    <w:rsid w:val="0CF43306"/>
    <w:rsid w:val="0E165F46"/>
    <w:rsid w:val="0FA35ED0"/>
    <w:rsid w:val="113B25F5"/>
    <w:rsid w:val="11E375BF"/>
    <w:rsid w:val="121872C3"/>
    <w:rsid w:val="13923401"/>
    <w:rsid w:val="139366A2"/>
    <w:rsid w:val="13D529BE"/>
    <w:rsid w:val="149448BD"/>
    <w:rsid w:val="15311E23"/>
    <w:rsid w:val="164544BA"/>
    <w:rsid w:val="19654593"/>
    <w:rsid w:val="1B2A5FC2"/>
    <w:rsid w:val="1B684648"/>
    <w:rsid w:val="1B815AF9"/>
    <w:rsid w:val="1B9F2161"/>
    <w:rsid w:val="1CE91EE0"/>
    <w:rsid w:val="1D3B3909"/>
    <w:rsid w:val="1E1864C7"/>
    <w:rsid w:val="1FAF795E"/>
    <w:rsid w:val="21ED4C64"/>
    <w:rsid w:val="22FC794B"/>
    <w:rsid w:val="23500C94"/>
    <w:rsid w:val="24BA7C3B"/>
    <w:rsid w:val="25F33DB1"/>
    <w:rsid w:val="26A609B0"/>
    <w:rsid w:val="26E34138"/>
    <w:rsid w:val="29645D21"/>
    <w:rsid w:val="2AEA6FE4"/>
    <w:rsid w:val="2B7E3465"/>
    <w:rsid w:val="2BC321C5"/>
    <w:rsid w:val="2BDA2A3E"/>
    <w:rsid w:val="2C626F97"/>
    <w:rsid w:val="2D262FD9"/>
    <w:rsid w:val="2E5D21D5"/>
    <w:rsid w:val="3617298E"/>
    <w:rsid w:val="377B3821"/>
    <w:rsid w:val="38D15ABB"/>
    <w:rsid w:val="39FC4175"/>
    <w:rsid w:val="3AD677E6"/>
    <w:rsid w:val="3B534B02"/>
    <w:rsid w:val="3BD463EC"/>
    <w:rsid w:val="3C4454B3"/>
    <w:rsid w:val="3D4E54E4"/>
    <w:rsid w:val="3DEA25E4"/>
    <w:rsid w:val="3E531B42"/>
    <w:rsid w:val="3E9C4FCF"/>
    <w:rsid w:val="3FF1676A"/>
    <w:rsid w:val="406D4064"/>
    <w:rsid w:val="412925E0"/>
    <w:rsid w:val="41E120CB"/>
    <w:rsid w:val="42225D1B"/>
    <w:rsid w:val="43FC422E"/>
    <w:rsid w:val="47120A5E"/>
    <w:rsid w:val="49C4462F"/>
    <w:rsid w:val="4A1F5E9E"/>
    <w:rsid w:val="4ED20BA7"/>
    <w:rsid w:val="50BF3290"/>
    <w:rsid w:val="510F1706"/>
    <w:rsid w:val="518A026A"/>
    <w:rsid w:val="52CB3723"/>
    <w:rsid w:val="55767E9F"/>
    <w:rsid w:val="56292642"/>
    <w:rsid w:val="570A1E0B"/>
    <w:rsid w:val="5759675F"/>
    <w:rsid w:val="577B1A1D"/>
    <w:rsid w:val="593D19A2"/>
    <w:rsid w:val="5A542567"/>
    <w:rsid w:val="5BDC7AF5"/>
    <w:rsid w:val="5D7715BE"/>
    <w:rsid w:val="5E2A6077"/>
    <w:rsid w:val="5E825606"/>
    <w:rsid w:val="5ECE74BC"/>
    <w:rsid w:val="60FA0B94"/>
    <w:rsid w:val="638D1AC9"/>
    <w:rsid w:val="639626AC"/>
    <w:rsid w:val="649929BD"/>
    <w:rsid w:val="651053E0"/>
    <w:rsid w:val="655E1840"/>
    <w:rsid w:val="658F2E72"/>
    <w:rsid w:val="682F6C55"/>
    <w:rsid w:val="6A1A03FC"/>
    <w:rsid w:val="6AC474AE"/>
    <w:rsid w:val="6BDC6C29"/>
    <w:rsid w:val="6D9E2A7D"/>
    <w:rsid w:val="6DAA1481"/>
    <w:rsid w:val="6EB5069E"/>
    <w:rsid w:val="6FDC174D"/>
    <w:rsid w:val="739C6CFF"/>
    <w:rsid w:val="768C60AD"/>
    <w:rsid w:val="79D26D49"/>
    <w:rsid w:val="7AFF5549"/>
    <w:rsid w:val="7BEC5B31"/>
    <w:rsid w:val="7CE53EAD"/>
    <w:rsid w:val="7DA43DBD"/>
    <w:rsid w:val="7FBF12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rPr>
  </w:style>
  <w:style w:type="table" w:styleId="7">
    <w:name w:val="Table Grid"/>
    <w:basedOn w:val="6"/>
    <w:qFormat/>
    <w:uiPriority w:val="59"/>
    <w:rPr>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Strong"/>
    <w:basedOn w:val="8"/>
    <w:qFormat/>
    <w:uiPriority w:val="22"/>
    <w:rPr>
      <w:b/>
      <w:bCs/>
    </w:rPr>
  </w:style>
  <w:style w:type="character" w:styleId="10">
    <w:name w:val="Hyperlink"/>
    <w:basedOn w:val="8"/>
    <w:qFormat/>
    <w:uiPriority w:val="0"/>
    <w:rPr>
      <w:color w:val="0000FF"/>
      <w:u w:val="single"/>
    </w:rPr>
  </w:style>
  <w:style w:type="character" w:customStyle="1" w:styleId="11">
    <w:name w:val="标题 1 字符"/>
    <w:basedOn w:val="8"/>
    <w:link w:val="2"/>
    <w:qFormat/>
    <w:uiPriority w:val="9"/>
    <w:rPr>
      <w:rFonts w:ascii="Times New Roman" w:hAnsi="Times New Roman" w:cs="Times New Roman"/>
      <w:b/>
      <w:bCs/>
      <w:kern w:val="36"/>
      <w:sz w:val="48"/>
      <w:szCs w:val="48"/>
    </w:rPr>
  </w:style>
  <w:style w:type="paragraph" w:customStyle="1" w:styleId="12">
    <w:name w:val="custom_unionstyle"/>
    <w:basedOn w:val="1"/>
    <w:qFormat/>
    <w:uiPriority w:val="0"/>
    <w:pPr>
      <w:widowControl/>
      <w:spacing w:before="100" w:beforeAutospacing="1" w:after="100" w:afterAutospacing="1"/>
      <w:jc w:val="left"/>
    </w:pPr>
    <w:rPr>
      <w:rFonts w:ascii="Times New Roman" w:hAnsi="Times New Roman" w:cs="Times New Roman"/>
      <w:kern w:val="0"/>
    </w:rPr>
  </w:style>
  <w:style w:type="character" w:customStyle="1" w:styleId="13">
    <w:name w:val="页眉 字符"/>
    <w:basedOn w:val="8"/>
    <w:link w:val="4"/>
    <w:qFormat/>
    <w:uiPriority w:val="99"/>
    <w:rPr>
      <w:sz w:val="18"/>
      <w:szCs w:val="18"/>
    </w:rPr>
  </w:style>
  <w:style w:type="character" w:customStyle="1" w:styleId="14">
    <w:name w:val="页脚 字符"/>
    <w:basedOn w:val="8"/>
    <w:link w:val="3"/>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1986</Words>
  <Characters>11325</Characters>
  <Lines>94</Lines>
  <Paragraphs>26</Paragraphs>
  <TotalTime>25</TotalTime>
  <ScaleCrop>false</ScaleCrop>
  <LinksUpToDate>false</LinksUpToDate>
  <CharactersWithSpaces>13285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2018-12-04T01:54:00Z</dcterms:created>
  <dc:creator>hao tong</dc:creator>
  <cp:lastModifiedBy>奶茶</cp:lastModifiedBy>
  <cp:lastPrinted>2021-01-12T07:34:00Z</cp:lastPrinted>
  <dcterms:modified xsi:type="dcterms:W3CDTF">2021-01-14T04:59:59Z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